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6E04" w14:textId="6DDDD452" w:rsidR="00894540" w:rsidRPr="00894540" w:rsidRDefault="00894540">
      <w:pPr>
        <w:rPr>
          <w:rFonts w:cs="David"/>
          <w:sz w:val="24"/>
          <w:szCs w:val="24"/>
          <w:rtl/>
        </w:rPr>
      </w:pPr>
      <w:r w:rsidRPr="00894540">
        <w:rPr>
          <w:rFonts w:cs="David" w:hint="cs"/>
          <w:sz w:val="24"/>
          <w:szCs w:val="24"/>
          <w:rtl/>
        </w:rPr>
        <w:t xml:space="preserve">המכון לביקורת ותקינה של חומרי רפואה                       </w:t>
      </w:r>
      <w:r w:rsidR="00F60AE2">
        <w:rPr>
          <w:rFonts w:cs="David" w:hint="cs"/>
          <w:sz w:val="24"/>
          <w:szCs w:val="24"/>
          <w:rtl/>
        </w:rPr>
        <w:t xml:space="preserve">          </w:t>
      </w:r>
      <w:r w:rsidRPr="00894540">
        <w:rPr>
          <w:rFonts w:cs="David" w:hint="cs"/>
          <w:sz w:val="24"/>
          <w:szCs w:val="24"/>
          <w:rtl/>
        </w:rPr>
        <w:t xml:space="preserve">                       </w:t>
      </w:r>
      <w:r w:rsidRPr="00894540">
        <w:rPr>
          <w:rFonts w:cs="David"/>
          <w:sz w:val="24"/>
          <w:szCs w:val="24"/>
        </w:rPr>
        <w:t>Form -3 EX-</w:t>
      </w:r>
      <w:r w:rsidR="001C1BBC">
        <w:rPr>
          <w:rFonts w:cs="David"/>
          <w:sz w:val="24"/>
          <w:szCs w:val="24"/>
        </w:rPr>
        <w:t>XXX</w:t>
      </w:r>
      <w:r w:rsidRPr="00894540">
        <w:rPr>
          <w:rFonts w:cs="David" w:hint="cs"/>
          <w:sz w:val="24"/>
          <w:szCs w:val="24"/>
          <w:rtl/>
        </w:rPr>
        <w:t xml:space="preserve">            </w:t>
      </w:r>
    </w:p>
    <w:p w14:paraId="1771965C" w14:textId="77777777" w:rsidR="002C0568" w:rsidRDefault="002C0568" w:rsidP="001C1BBC">
      <w:pPr>
        <w:pStyle w:val="1"/>
        <w:spacing w:line="240" w:lineRule="auto"/>
        <w:ind w:left="85" w:right="-284"/>
        <w:contextualSpacing/>
        <w:rPr>
          <w:u w:val="single"/>
          <w:rtl/>
        </w:rPr>
      </w:pPr>
    </w:p>
    <w:p w14:paraId="7840C788" w14:textId="1B1889F7" w:rsidR="00894540" w:rsidRPr="005E3BD6" w:rsidRDefault="00894540" w:rsidP="001C1BBC">
      <w:pPr>
        <w:pStyle w:val="1"/>
        <w:spacing w:line="240" w:lineRule="auto"/>
        <w:ind w:left="85" w:right="-284"/>
        <w:contextualSpacing/>
        <w:rPr>
          <w:i/>
          <w:iCs/>
          <w:u w:val="single"/>
          <w:rtl/>
        </w:rPr>
      </w:pPr>
      <w:r w:rsidRPr="005E3BD6">
        <w:rPr>
          <w:u w:val="single"/>
          <w:rtl/>
        </w:rPr>
        <w:t>רשימת שינויים</w:t>
      </w:r>
      <w:r w:rsidRPr="005E3BD6">
        <w:rPr>
          <w:rFonts w:hint="cs"/>
          <w:u w:val="single"/>
          <w:rtl/>
        </w:rPr>
        <w:t xml:space="preserve"> </w:t>
      </w:r>
      <w:r w:rsidR="001C1BBC" w:rsidRPr="005E3BD6">
        <w:rPr>
          <w:rFonts w:hint="cs"/>
          <w:u w:val="single"/>
          <w:rtl/>
        </w:rPr>
        <w:t>וטרינרים</w:t>
      </w:r>
      <w:r w:rsidRPr="005E3BD6">
        <w:rPr>
          <w:u w:val="single"/>
          <w:rtl/>
        </w:rPr>
        <w:t xml:space="preserve"> להגשה למכון לביקורת ותקנים של חומרי רפואה ולמחלקת רישום</w:t>
      </w:r>
    </w:p>
    <w:p w14:paraId="2E3770E9" w14:textId="77777777" w:rsidR="00511214" w:rsidRDefault="00511214">
      <w:pPr>
        <w:rPr>
          <w:rFonts w:hint="cs"/>
          <w:rtl/>
        </w:rPr>
      </w:pPr>
    </w:p>
    <w:tbl>
      <w:tblPr>
        <w:tblStyle w:val="a3"/>
        <w:tblW w:w="0" w:type="auto"/>
        <w:tblLook w:val="04A0" w:firstRow="1" w:lastRow="0" w:firstColumn="1" w:lastColumn="0" w:noHBand="0" w:noVBand="1"/>
      </w:tblPr>
      <w:tblGrid>
        <w:gridCol w:w="4390"/>
        <w:gridCol w:w="1134"/>
        <w:gridCol w:w="1417"/>
        <w:gridCol w:w="1355"/>
      </w:tblGrid>
      <w:tr w:rsidR="00511214" w14:paraId="46B615F3" w14:textId="77777777" w:rsidTr="00511214">
        <w:tc>
          <w:tcPr>
            <w:tcW w:w="4390" w:type="dxa"/>
            <w:vAlign w:val="center"/>
          </w:tcPr>
          <w:p w14:paraId="691E6217" w14:textId="3D98D8B8" w:rsidR="00511214" w:rsidRDefault="00511214" w:rsidP="00511214">
            <w:pPr>
              <w:bidi w:val="0"/>
              <w:rPr>
                <w:rFonts w:hint="cs"/>
                <w:rtl/>
              </w:rPr>
            </w:pPr>
            <w:r w:rsidRPr="001374E4">
              <w:rPr>
                <w:rFonts w:asciiTheme="majorBidi" w:hAnsiTheme="majorBidi" w:cs="David" w:hint="cs"/>
                <w:sz w:val="22"/>
                <w:szCs w:val="22"/>
                <w:rtl/>
              </w:rPr>
              <w:t>הנושא</w:t>
            </w:r>
          </w:p>
        </w:tc>
        <w:tc>
          <w:tcPr>
            <w:tcW w:w="1134" w:type="dxa"/>
            <w:vAlign w:val="center"/>
          </w:tcPr>
          <w:p w14:paraId="4DA5F04F" w14:textId="2BBED732" w:rsidR="00511214" w:rsidRDefault="00511214" w:rsidP="00511214">
            <w:pPr>
              <w:bidi w:val="0"/>
              <w:rPr>
                <w:rFonts w:hint="cs"/>
                <w:rtl/>
              </w:rPr>
            </w:pPr>
            <w:r w:rsidRPr="001C254B">
              <w:rPr>
                <w:rFonts w:asciiTheme="majorBidi" w:hAnsiTheme="majorBidi" w:cs="David"/>
                <w:szCs w:val="24"/>
                <w:rtl/>
              </w:rPr>
              <w:t>רק אישור מחלקת הרישום</w:t>
            </w:r>
          </w:p>
        </w:tc>
        <w:tc>
          <w:tcPr>
            <w:tcW w:w="1417" w:type="dxa"/>
            <w:vAlign w:val="center"/>
          </w:tcPr>
          <w:p w14:paraId="7200EC60" w14:textId="53527686" w:rsidR="00511214" w:rsidRDefault="00511214" w:rsidP="00511214">
            <w:pPr>
              <w:bidi w:val="0"/>
              <w:rPr>
                <w:rFonts w:hint="cs"/>
                <w:rtl/>
              </w:rPr>
            </w:pPr>
            <w:r w:rsidRPr="001C254B">
              <w:rPr>
                <w:rFonts w:asciiTheme="majorBidi" w:hAnsiTheme="majorBidi" w:cs="David"/>
                <w:szCs w:val="24"/>
                <w:rtl/>
              </w:rPr>
              <w:t>אישור מחלקת הרישום וגם המכון</w:t>
            </w:r>
          </w:p>
        </w:tc>
        <w:tc>
          <w:tcPr>
            <w:tcW w:w="1355" w:type="dxa"/>
            <w:vAlign w:val="center"/>
          </w:tcPr>
          <w:p w14:paraId="28790B5F" w14:textId="1D99D8F6" w:rsidR="00511214" w:rsidRDefault="00511214" w:rsidP="00511214">
            <w:pPr>
              <w:bidi w:val="0"/>
              <w:rPr>
                <w:rFonts w:hint="cs"/>
                <w:rtl/>
              </w:rPr>
            </w:pPr>
            <w:r>
              <w:rPr>
                <w:rFonts w:asciiTheme="majorBidi" w:hAnsiTheme="majorBidi" w:cs="David"/>
                <w:szCs w:val="24"/>
              </w:rPr>
              <w:t>VNRA/ VRA</w:t>
            </w:r>
          </w:p>
        </w:tc>
      </w:tr>
      <w:tr w:rsidR="00511214" w14:paraId="2BF9E894" w14:textId="77777777" w:rsidTr="00511214">
        <w:tc>
          <w:tcPr>
            <w:tcW w:w="4390" w:type="dxa"/>
            <w:vAlign w:val="center"/>
          </w:tcPr>
          <w:p w14:paraId="5274EE55" w14:textId="32250685" w:rsidR="00511214" w:rsidRDefault="00511214" w:rsidP="00511214">
            <w:pPr>
              <w:bidi w:val="0"/>
              <w:rPr>
                <w:rFonts w:hint="cs"/>
                <w:rtl/>
              </w:rPr>
            </w:pPr>
            <w:r>
              <w:rPr>
                <w:rFonts w:asciiTheme="majorBidi" w:hAnsiTheme="majorBidi" w:cs="David"/>
                <w:sz w:val="22"/>
                <w:szCs w:val="22"/>
              </w:rPr>
              <w:t xml:space="preserve">A.1 </w:t>
            </w:r>
            <w:r>
              <w:t>Change in the name or address or contact details of:</w:t>
            </w:r>
          </w:p>
        </w:tc>
        <w:tc>
          <w:tcPr>
            <w:tcW w:w="1134" w:type="dxa"/>
          </w:tcPr>
          <w:p w14:paraId="6AE811A9" w14:textId="77777777" w:rsidR="00511214" w:rsidRDefault="00511214" w:rsidP="002C0568">
            <w:pPr>
              <w:bidi w:val="0"/>
              <w:jc w:val="center"/>
              <w:rPr>
                <w:rFonts w:hint="cs"/>
                <w:rtl/>
              </w:rPr>
            </w:pPr>
          </w:p>
        </w:tc>
        <w:tc>
          <w:tcPr>
            <w:tcW w:w="1417" w:type="dxa"/>
          </w:tcPr>
          <w:p w14:paraId="63FA77FA" w14:textId="77777777" w:rsidR="00511214" w:rsidRDefault="00511214" w:rsidP="002C0568">
            <w:pPr>
              <w:bidi w:val="0"/>
              <w:jc w:val="center"/>
              <w:rPr>
                <w:rFonts w:hint="cs"/>
                <w:rtl/>
              </w:rPr>
            </w:pPr>
          </w:p>
        </w:tc>
        <w:tc>
          <w:tcPr>
            <w:tcW w:w="1355" w:type="dxa"/>
          </w:tcPr>
          <w:p w14:paraId="1AD9AE21" w14:textId="77777777" w:rsidR="00511214" w:rsidRDefault="00511214" w:rsidP="002C0568">
            <w:pPr>
              <w:bidi w:val="0"/>
              <w:jc w:val="center"/>
              <w:rPr>
                <w:rFonts w:hint="cs"/>
                <w:rtl/>
              </w:rPr>
            </w:pPr>
          </w:p>
        </w:tc>
      </w:tr>
      <w:tr w:rsidR="00511214" w14:paraId="70A142CC" w14:textId="77777777" w:rsidTr="00511214">
        <w:tc>
          <w:tcPr>
            <w:tcW w:w="4390" w:type="dxa"/>
            <w:vAlign w:val="center"/>
          </w:tcPr>
          <w:p w14:paraId="2D5C3F46" w14:textId="5177FC26" w:rsidR="00511214" w:rsidRDefault="00511214" w:rsidP="00511214">
            <w:pPr>
              <w:bidi w:val="0"/>
              <w:rPr>
                <w:rFonts w:hint="cs"/>
                <w:rtl/>
              </w:rPr>
            </w:pPr>
            <w:r>
              <w:t xml:space="preserve">a — the marketing </w:t>
            </w:r>
            <w:proofErr w:type="spellStart"/>
            <w:r>
              <w:t>authorisation</w:t>
            </w:r>
            <w:proofErr w:type="spellEnd"/>
            <w:r>
              <w:t xml:space="preserve"> holder</w:t>
            </w:r>
          </w:p>
        </w:tc>
        <w:tc>
          <w:tcPr>
            <w:tcW w:w="1134" w:type="dxa"/>
            <w:vAlign w:val="center"/>
          </w:tcPr>
          <w:p w14:paraId="46F41B2C" w14:textId="031123DC" w:rsidR="00511214" w:rsidRDefault="00511214" w:rsidP="002C0568">
            <w:pPr>
              <w:bidi w:val="0"/>
              <w:jc w:val="center"/>
              <w:rPr>
                <w:rFonts w:hint="cs"/>
                <w:rtl/>
              </w:rPr>
            </w:pPr>
            <w:r>
              <w:rPr>
                <w:rFonts w:asciiTheme="majorBidi" w:hAnsiTheme="majorBidi" w:cs="David"/>
                <w:szCs w:val="24"/>
              </w:rPr>
              <w:t>X</w:t>
            </w:r>
          </w:p>
        </w:tc>
        <w:tc>
          <w:tcPr>
            <w:tcW w:w="1417" w:type="dxa"/>
            <w:vAlign w:val="center"/>
          </w:tcPr>
          <w:p w14:paraId="1DC35069" w14:textId="77777777" w:rsidR="00511214" w:rsidRDefault="00511214" w:rsidP="002C0568">
            <w:pPr>
              <w:bidi w:val="0"/>
              <w:jc w:val="center"/>
              <w:rPr>
                <w:rFonts w:hint="cs"/>
                <w:rtl/>
              </w:rPr>
            </w:pPr>
          </w:p>
        </w:tc>
        <w:tc>
          <w:tcPr>
            <w:tcW w:w="1355" w:type="dxa"/>
            <w:vAlign w:val="center"/>
          </w:tcPr>
          <w:p w14:paraId="68F0956C" w14:textId="43997189" w:rsidR="00511214" w:rsidRDefault="00511214" w:rsidP="002C0568">
            <w:pPr>
              <w:bidi w:val="0"/>
              <w:jc w:val="center"/>
              <w:rPr>
                <w:rFonts w:hint="cs"/>
                <w:rtl/>
              </w:rPr>
            </w:pPr>
            <w:r>
              <w:rPr>
                <w:rFonts w:asciiTheme="majorBidi" w:hAnsiTheme="majorBidi" w:cs="David"/>
                <w:szCs w:val="24"/>
              </w:rPr>
              <w:t>VNRA</w:t>
            </w:r>
          </w:p>
        </w:tc>
      </w:tr>
      <w:tr w:rsidR="00511214" w14:paraId="2B78859D" w14:textId="77777777" w:rsidTr="00511214">
        <w:tc>
          <w:tcPr>
            <w:tcW w:w="4390" w:type="dxa"/>
            <w:vAlign w:val="center"/>
          </w:tcPr>
          <w:p w14:paraId="758C81E5" w14:textId="70A55A9A" w:rsidR="00511214" w:rsidRDefault="00511214" w:rsidP="00511214">
            <w:pPr>
              <w:bidi w:val="0"/>
              <w:rPr>
                <w:rFonts w:hint="cs"/>
                <w:rtl/>
              </w:rPr>
            </w:pPr>
            <w:r>
              <w:t>b — a manufacturer or supplier of the active substance, starting material, reagent or intermediate used in the manufacture of the active substance or a quality control testing site (where specified in the dossier) where no European Pharmacopoeia (Ph. Eur.) Certificate of Suitability (CEP) is part of the approved dossier.</w:t>
            </w:r>
          </w:p>
        </w:tc>
        <w:tc>
          <w:tcPr>
            <w:tcW w:w="1134" w:type="dxa"/>
            <w:vAlign w:val="center"/>
          </w:tcPr>
          <w:p w14:paraId="2A601CB6" w14:textId="77777777" w:rsidR="00511214" w:rsidRDefault="00511214" w:rsidP="002C0568">
            <w:pPr>
              <w:bidi w:val="0"/>
              <w:jc w:val="center"/>
              <w:rPr>
                <w:rFonts w:hint="cs"/>
                <w:rtl/>
              </w:rPr>
            </w:pPr>
          </w:p>
        </w:tc>
        <w:tc>
          <w:tcPr>
            <w:tcW w:w="1417" w:type="dxa"/>
            <w:vAlign w:val="center"/>
          </w:tcPr>
          <w:p w14:paraId="1291C1E1" w14:textId="77777777" w:rsidR="00511214" w:rsidRDefault="00511214" w:rsidP="002C0568">
            <w:pPr>
              <w:bidi w:val="0"/>
              <w:jc w:val="center"/>
              <w:rPr>
                <w:rFonts w:asciiTheme="majorBidi" w:hAnsiTheme="majorBidi" w:cs="David"/>
                <w:szCs w:val="24"/>
              </w:rPr>
            </w:pPr>
            <w:r>
              <w:rPr>
                <w:rFonts w:asciiTheme="majorBidi" w:hAnsiTheme="majorBidi" w:cs="David"/>
                <w:szCs w:val="24"/>
              </w:rPr>
              <w:t>X</w:t>
            </w:r>
          </w:p>
          <w:p w14:paraId="443A48F6" w14:textId="7CC798FF" w:rsidR="00511214" w:rsidRDefault="00511214" w:rsidP="002C0568">
            <w:pPr>
              <w:bidi w:val="0"/>
              <w:jc w:val="right"/>
              <w:rPr>
                <w:rFonts w:hint="cs"/>
                <w:rtl/>
              </w:rPr>
            </w:pPr>
            <w:r w:rsidRPr="001C254B">
              <w:rPr>
                <w:rFonts w:asciiTheme="majorBidi" w:hAnsiTheme="majorBidi" w:cs="David"/>
                <w:rtl/>
              </w:rPr>
              <w:t>לתכשירים כימיים אישור המכון בלבד ולתכשירים ביולוגיים אישור המכון ומחלקת רישום</w:t>
            </w:r>
          </w:p>
        </w:tc>
        <w:tc>
          <w:tcPr>
            <w:tcW w:w="1355" w:type="dxa"/>
            <w:vAlign w:val="center"/>
          </w:tcPr>
          <w:p w14:paraId="0B0DCCDA" w14:textId="10455AB0" w:rsidR="00511214" w:rsidRDefault="00511214" w:rsidP="002C0568">
            <w:pPr>
              <w:bidi w:val="0"/>
              <w:jc w:val="center"/>
              <w:rPr>
                <w:rFonts w:hint="cs"/>
                <w:rtl/>
              </w:rPr>
            </w:pPr>
            <w:r>
              <w:rPr>
                <w:rFonts w:asciiTheme="majorBidi" w:hAnsiTheme="majorBidi" w:cs="David"/>
                <w:szCs w:val="24"/>
              </w:rPr>
              <w:t>VRA</w:t>
            </w:r>
          </w:p>
        </w:tc>
      </w:tr>
      <w:tr w:rsidR="00511214" w14:paraId="6D35FE94" w14:textId="77777777" w:rsidTr="00511214">
        <w:tc>
          <w:tcPr>
            <w:tcW w:w="4390" w:type="dxa"/>
            <w:vAlign w:val="center"/>
          </w:tcPr>
          <w:p w14:paraId="49AA9746" w14:textId="4FB4C2B7" w:rsidR="00511214" w:rsidRDefault="00511214" w:rsidP="00511214">
            <w:pPr>
              <w:bidi w:val="0"/>
              <w:rPr>
                <w:rFonts w:hint="cs"/>
                <w:rtl/>
              </w:rPr>
            </w:pPr>
            <w:r>
              <w:t xml:space="preserve">c </w:t>
            </w:r>
            <w:proofErr w:type="gramStart"/>
            <w:r>
              <w:t xml:space="preserve">— </w:t>
            </w:r>
            <w:r w:rsidDel="00C8511B">
              <w:t xml:space="preserve"> </w:t>
            </w:r>
            <w:r>
              <w:t>an</w:t>
            </w:r>
            <w:proofErr w:type="gramEnd"/>
            <w:r>
              <w:t xml:space="preserve"> active substance master file (ASMF) holder</w:t>
            </w:r>
          </w:p>
        </w:tc>
        <w:tc>
          <w:tcPr>
            <w:tcW w:w="1134" w:type="dxa"/>
            <w:vAlign w:val="center"/>
          </w:tcPr>
          <w:p w14:paraId="307A3DF5" w14:textId="77777777" w:rsidR="00511214" w:rsidRDefault="00511214" w:rsidP="002C0568">
            <w:pPr>
              <w:bidi w:val="0"/>
              <w:jc w:val="center"/>
              <w:rPr>
                <w:rFonts w:hint="cs"/>
                <w:rtl/>
              </w:rPr>
            </w:pPr>
          </w:p>
        </w:tc>
        <w:tc>
          <w:tcPr>
            <w:tcW w:w="1417" w:type="dxa"/>
            <w:vAlign w:val="center"/>
          </w:tcPr>
          <w:p w14:paraId="5CA7BE90" w14:textId="649EC9D5" w:rsidR="00511214" w:rsidRDefault="00511214" w:rsidP="002C0568">
            <w:pPr>
              <w:bidi w:val="0"/>
              <w:jc w:val="center"/>
              <w:rPr>
                <w:rFonts w:hint="cs"/>
                <w:rtl/>
              </w:rPr>
            </w:pPr>
            <w:r>
              <w:rPr>
                <w:rFonts w:asciiTheme="majorBidi" w:hAnsiTheme="majorBidi" w:cs="David" w:hint="cs"/>
                <w:szCs w:val="24"/>
              </w:rPr>
              <w:t>X</w:t>
            </w:r>
          </w:p>
        </w:tc>
        <w:tc>
          <w:tcPr>
            <w:tcW w:w="1355" w:type="dxa"/>
            <w:vAlign w:val="center"/>
          </w:tcPr>
          <w:p w14:paraId="2A467CFF" w14:textId="3AB1EB0A" w:rsidR="00511214" w:rsidRDefault="00511214" w:rsidP="002C0568">
            <w:pPr>
              <w:bidi w:val="0"/>
              <w:jc w:val="center"/>
              <w:rPr>
                <w:rFonts w:hint="cs"/>
                <w:rtl/>
              </w:rPr>
            </w:pPr>
            <w:r>
              <w:rPr>
                <w:rFonts w:asciiTheme="majorBidi" w:hAnsiTheme="majorBidi" w:cs="David"/>
                <w:szCs w:val="24"/>
              </w:rPr>
              <w:t>VNRA</w:t>
            </w:r>
          </w:p>
        </w:tc>
      </w:tr>
      <w:tr w:rsidR="00511214" w14:paraId="3633F27C" w14:textId="77777777" w:rsidTr="00511214">
        <w:tc>
          <w:tcPr>
            <w:tcW w:w="4390" w:type="dxa"/>
            <w:vAlign w:val="center"/>
          </w:tcPr>
          <w:p w14:paraId="4B745998" w14:textId="56929F5F" w:rsidR="00511214" w:rsidRDefault="00511214" w:rsidP="00511214">
            <w:pPr>
              <w:bidi w:val="0"/>
              <w:rPr>
                <w:rFonts w:hint="cs"/>
                <w:rtl/>
              </w:rPr>
            </w:pPr>
            <w:r>
              <w:t>e — a manufacturer or importer of the finished product (including batch release or quality control testing sites)</w:t>
            </w:r>
          </w:p>
        </w:tc>
        <w:tc>
          <w:tcPr>
            <w:tcW w:w="1134" w:type="dxa"/>
            <w:vAlign w:val="center"/>
          </w:tcPr>
          <w:p w14:paraId="499DF05D" w14:textId="77777777" w:rsidR="00511214" w:rsidRDefault="00511214" w:rsidP="002C0568">
            <w:pPr>
              <w:bidi w:val="0"/>
              <w:jc w:val="center"/>
              <w:rPr>
                <w:rFonts w:hint="cs"/>
                <w:rtl/>
              </w:rPr>
            </w:pPr>
          </w:p>
        </w:tc>
        <w:tc>
          <w:tcPr>
            <w:tcW w:w="1417" w:type="dxa"/>
            <w:vAlign w:val="center"/>
          </w:tcPr>
          <w:p w14:paraId="4B1AF8F3" w14:textId="51F8D6F4" w:rsidR="00511214" w:rsidRDefault="00511214" w:rsidP="002C0568">
            <w:pPr>
              <w:bidi w:val="0"/>
              <w:jc w:val="center"/>
              <w:rPr>
                <w:rFonts w:hint="cs"/>
                <w:rtl/>
              </w:rPr>
            </w:pPr>
            <w:r>
              <w:rPr>
                <w:rFonts w:asciiTheme="majorBidi" w:hAnsiTheme="majorBidi" w:cs="David"/>
                <w:szCs w:val="24"/>
              </w:rPr>
              <w:t>X</w:t>
            </w:r>
          </w:p>
        </w:tc>
        <w:tc>
          <w:tcPr>
            <w:tcW w:w="1355" w:type="dxa"/>
            <w:vAlign w:val="center"/>
          </w:tcPr>
          <w:p w14:paraId="64CD61F5" w14:textId="525B2781" w:rsidR="00511214" w:rsidRDefault="00511214" w:rsidP="002C0568">
            <w:pPr>
              <w:bidi w:val="0"/>
              <w:jc w:val="center"/>
              <w:rPr>
                <w:rFonts w:hint="cs"/>
                <w:rtl/>
              </w:rPr>
            </w:pPr>
            <w:r>
              <w:rPr>
                <w:rFonts w:asciiTheme="majorBidi" w:hAnsiTheme="majorBidi" w:cs="David"/>
                <w:szCs w:val="24"/>
              </w:rPr>
              <w:t>VRA</w:t>
            </w:r>
          </w:p>
        </w:tc>
      </w:tr>
      <w:tr w:rsidR="00511214" w14:paraId="26146B99" w14:textId="77777777" w:rsidTr="00511214">
        <w:tc>
          <w:tcPr>
            <w:tcW w:w="4390" w:type="dxa"/>
            <w:vAlign w:val="center"/>
          </w:tcPr>
          <w:p w14:paraId="01EA49E8" w14:textId="0E076A0A" w:rsidR="00511214" w:rsidRDefault="00511214" w:rsidP="00511214">
            <w:pPr>
              <w:bidi w:val="0"/>
              <w:rPr>
                <w:rFonts w:hint="cs"/>
                <w:rtl/>
              </w:rPr>
            </w:pPr>
            <w:r>
              <w:t>A.2 Change in the (invented) name of the veterinary medicinal product</w:t>
            </w:r>
          </w:p>
        </w:tc>
        <w:tc>
          <w:tcPr>
            <w:tcW w:w="1134" w:type="dxa"/>
            <w:vAlign w:val="center"/>
          </w:tcPr>
          <w:p w14:paraId="1421E801" w14:textId="4D7BC3DE" w:rsidR="00511214" w:rsidRDefault="00511214" w:rsidP="002C0568">
            <w:pPr>
              <w:bidi w:val="0"/>
              <w:jc w:val="center"/>
              <w:rPr>
                <w:rFonts w:hint="cs"/>
                <w:rtl/>
              </w:rPr>
            </w:pPr>
            <w:r>
              <w:rPr>
                <w:rFonts w:asciiTheme="majorBidi" w:hAnsiTheme="majorBidi" w:cs="David"/>
                <w:szCs w:val="24"/>
              </w:rPr>
              <w:t>X</w:t>
            </w:r>
          </w:p>
        </w:tc>
        <w:tc>
          <w:tcPr>
            <w:tcW w:w="1417" w:type="dxa"/>
            <w:vAlign w:val="center"/>
          </w:tcPr>
          <w:p w14:paraId="73CE33F9" w14:textId="77777777" w:rsidR="00511214" w:rsidRDefault="00511214" w:rsidP="002C0568">
            <w:pPr>
              <w:bidi w:val="0"/>
              <w:jc w:val="center"/>
              <w:rPr>
                <w:rFonts w:hint="cs"/>
                <w:rtl/>
              </w:rPr>
            </w:pPr>
          </w:p>
        </w:tc>
        <w:tc>
          <w:tcPr>
            <w:tcW w:w="1355" w:type="dxa"/>
            <w:vAlign w:val="center"/>
          </w:tcPr>
          <w:p w14:paraId="48ACBE7C" w14:textId="20160B5E" w:rsidR="00511214" w:rsidRDefault="00511214" w:rsidP="002C0568">
            <w:pPr>
              <w:bidi w:val="0"/>
              <w:jc w:val="center"/>
              <w:rPr>
                <w:rFonts w:hint="cs"/>
                <w:rtl/>
              </w:rPr>
            </w:pPr>
            <w:r>
              <w:rPr>
                <w:rFonts w:asciiTheme="majorBidi" w:hAnsiTheme="majorBidi" w:cs="David"/>
                <w:szCs w:val="24"/>
              </w:rPr>
              <w:t>VNRA</w:t>
            </w:r>
          </w:p>
        </w:tc>
      </w:tr>
      <w:tr w:rsidR="00511214" w14:paraId="162AE0A7" w14:textId="77777777" w:rsidTr="00511214">
        <w:tc>
          <w:tcPr>
            <w:tcW w:w="4390" w:type="dxa"/>
            <w:vAlign w:val="center"/>
          </w:tcPr>
          <w:p w14:paraId="78708A2C" w14:textId="08BEE853" w:rsidR="00511214" w:rsidRDefault="00511214" w:rsidP="00511214">
            <w:pPr>
              <w:bidi w:val="0"/>
              <w:rPr>
                <w:rFonts w:hint="cs"/>
                <w:rtl/>
              </w:rPr>
            </w:pPr>
            <w:r>
              <w:t>A.3 Change in name of the active substance or of an excipient</w:t>
            </w:r>
          </w:p>
        </w:tc>
        <w:tc>
          <w:tcPr>
            <w:tcW w:w="1134" w:type="dxa"/>
            <w:vAlign w:val="center"/>
          </w:tcPr>
          <w:p w14:paraId="10719FAA" w14:textId="77777777" w:rsidR="00511214" w:rsidRDefault="00511214" w:rsidP="002C0568">
            <w:pPr>
              <w:bidi w:val="0"/>
              <w:jc w:val="center"/>
              <w:rPr>
                <w:rFonts w:hint="cs"/>
                <w:rtl/>
              </w:rPr>
            </w:pPr>
          </w:p>
        </w:tc>
        <w:tc>
          <w:tcPr>
            <w:tcW w:w="1417" w:type="dxa"/>
            <w:vAlign w:val="center"/>
          </w:tcPr>
          <w:p w14:paraId="720702F7" w14:textId="1EE35D18" w:rsidR="00511214" w:rsidRDefault="00511214" w:rsidP="002C0568">
            <w:pPr>
              <w:bidi w:val="0"/>
              <w:jc w:val="center"/>
              <w:rPr>
                <w:rFonts w:hint="cs"/>
                <w:rtl/>
              </w:rPr>
            </w:pPr>
            <w:r>
              <w:rPr>
                <w:rFonts w:asciiTheme="majorBidi" w:hAnsiTheme="majorBidi" w:cs="David"/>
                <w:szCs w:val="24"/>
              </w:rPr>
              <w:t>X</w:t>
            </w:r>
          </w:p>
        </w:tc>
        <w:tc>
          <w:tcPr>
            <w:tcW w:w="1355" w:type="dxa"/>
            <w:vAlign w:val="center"/>
          </w:tcPr>
          <w:p w14:paraId="12099F24" w14:textId="13772A41" w:rsidR="00511214" w:rsidRDefault="00511214" w:rsidP="002C0568">
            <w:pPr>
              <w:bidi w:val="0"/>
              <w:jc w:val="center"/>
              <w:rPr>
                <w:rFonts w:hint="cs"/>
                <w:rtl/>
              </w:rPr>
            </w:pPr>
            <w:r>
              <w:rPr>
                <w:rFonts w:asciiTheme="majorBidi" w:hAnsiTheme="majorBidi" w:cs="David"/>
                <w:szCs w:val="24"/>
              </w:rPr>
              <w:t>VRA</w:t>
            </w:r>
          </w:p>
        </w:tc>
      </w:tr>
      <w:tr w:rsidR="00511214" w14:paraId="3E2D8461" w14:textId="77777777" w:rsidTr="00511214">
        <w:tc>
          <w:tcPr>
            <w:tcW w:w="4390" w:type="dxa"/>
            <w:vAlign w:val="center"/>
          </w:tcPr>
          <w:p w14:paraId="69D414B2" w14:textId="07C9069A" w:rsidR="00511214" w:rsidRDefault="00511214" w:rsidP="00511214">
            <w:pPr>
              <w:bidi w:val="0"/>
            </w:pPr>
            <w:r>
              <w:t xml:space="preserve">A.4 Change in </w:t>
            </w:r>
            <w:proofErr w:type="spellStart"/>
            <w:r>
              <w:t>ATCvet</w:t>
            </w:r>
            <w:proofErr w:type="spellEnd"/>
            <w:r>
              <w:t xml:space="preserve"> Code</w:t>
            </w:r>
          </w:p>
        </w:tc>
        <w:tc>
          <w:tcPr>
            <w:tcW w:w="1134" w:type="dxa"/>
            <w:vAlign w:val="center"/>
          </w:tcPr>
          <w:p w14:paraId="082AEC99" w14:textId="460EFB6A" w:rsidR="00511214" w:rsidRDefault="00511214" w:rsidP="002C0568">
            <w:pPr>
              <w:bidi w:val="0"/>
              <w:jc w:val="center"/>
              <w:rPr>
                <w:rFonts w:hint="cs"/>
                <w:rtl/>
              </w:rPr>
            </w:pPr>
            <w:r>
              <w:rPr>
                <w:rFonts w:asciiTheme="majorBidi" w:hAnsiTheme="majorBidi" w:cs="David"/>
                <w:szCs w:val="24"/>
              </w:rPr>
              <w:t>X</w:t>
            </w:r>
          </w:p>
        </w:tc>
        <w:tc>
          <w:tcPr>
            <w:tcW w:w="1417" w:type="dxa"/>
            <w:vAlign w:val="center"/>
          </w:tcPr>
          <w:p w14:paraId="71C36DB0" w14:textId="77777777" w:rsidR="00511214" w:rsidRDefault="00511214" w:rsidP="002C0568">
            <w:pPr>
              <w:bidi w:val="0"/>
              <w:jc w:val="center"/>
              <w:rPr>
                <w:rFonts w:asciiTheme="majorBidi" w:hAnsiTheme="majorBidi" w:cs="David"/>
                <w:szCs w:val="24"/>
              </w:rPr>
            </w:pPr>
          </w:p>
        </w:tc>
        <w:tc>
          <w:tcPr>
            <w:tcW w:w="1355" w:type="dxa"/>
            <w:vAlign w:val="center"/>
          </w:tcPr>
          <w:p w14:paraId="7153FD68" w14:textId="47CFF78F" w:rsidR="00511214" w:rsidRDefault="00511214" w:rsidP="002C0568">
            <w:pPr>
              <w:bidi w:val="0"/>
              <w:jc w:val="center"/>
              <w:rPr>
                <w:rFonts w:asciiTheme="majorBidi" w:hAnsiTheme="majorBidi" w:cs="David"/>
                <w:szCs w:val="24"/>
              </w:rPr>
            </w:pPr>
            <w:r>
              <w:rPr>
                <w:rFonts w:asciiTheme="majorBidi" w:hAnsiTheme="majorBidi" w:cs="David"/>
                <w:szCs w:val="24"/>
              </w:rPr>
              <w:t>VNRA</w:t>
            </w:r>
          </w:p>
        </w:tc>
      </w:tr>
      <w:tr w:rsidR="00511214" w14:paraId="61F6F0A9" w14:textId="77777777" w:rsidTr="00296EDE">
        <w:tc>
          <w:tcPr>
            <w:tcW w:w="4390" w:type="dxa"/>
            <w:vAlign w:val="center"/>
          </w:tcPr>
          <w:p w14:paraId="733C51FB" w14:textId="105911ED" w:rsidR="00511214" w:rsidRDefault="00511214" w:rsidP="00511214">
            <w:pPr>
              <w:bidi w:val="0"/>
            </w:pPr>
            <w:r>
              <w:t>B.3 Deletion of:</w:t>
            </w:r>
          </w:p>
        </w:tc>
        <w:tc>
          <w:tcPr>
            <w:tcW w:w="1134" w:type="dxa"/>
          </w:tcPr>
          <w:p w14:paraId="6C21F4BB" w14:textId="77777777" w:rsidR="00511214" w:rsidRDefault="00511214" w:rsidP="002C0568">
            <w:pPr>
              <w:bidi w:val="0"/>
              <w:jc w:val="center"/>
              <w:rPr>
                <w:rFonts w:hint="cs"/>
                <w:rtl/>
              </w:rPr>
            </w:pPr>
          </w:p>
        </w:tc>
        <w:tc>
          <w:tcPr>
            <w:tcW w:w="1417" w:type="dxa"/>
            <w:vAlign w:val="center"/>
          </w:tcPr>
          <w:p w14:paraId="6DB68F29" w14:textId="77777777" w:rsidR="00511214" w:rsidRDefault="00511214" w:rsidP="002C0568">
            <w:pPr>
              <w:bidi w:val="0"/>
              <w:jc w:val="center"/>
              <w:rPr>
                <w:rFonts w:asciiTheme="majorBidi" w:hAnsiTheme="majorBidi" w:cs="David"/>
                <w:szCs w:val="24"/>
              </w:rPr>
            </w:pPr>
          </w:p>
        </w:tc>
        <w:tc>
          <w:tcPr>
            <w:tcW w:w="1355" w:type="dxa"/>
            <w:vAlign w:val="center"/>
          </w:tcPr>
          <w:p w14:paraId="0F9F0106" w14:textId="77777777" w:rsidR="00511214" w:rsidRDefault="00511214" w:rsidP="002C0568">
            <w:pPr>
              <w:bidi w:val="0"/>
              <w:jc w:val="center"/>
              <w:rPr>
                <w:rFonts w:asciiTheme="majorBidi" w:hAnsiTheme="majorBidi" w:cs="David"/>
                <w:szCs w:val="24"/>
              </w:rPr>
            </w:pPr>
          </w:p>
        </w:tc>
      </w:tr>
      <w:tr w:rsidR="00511214" w14:paraId="1A5CC606" w14:textId="77777777" w:rsidTr="00511214">
        <w:tc>
          <w:tcPr>
            <w:tcW w:w="4390" w:type="dxa"/>
            <w:vAlign w:val="center"/>
          </w:tcPr>
          <w:p w14:paraId="597B670C" w14:textId="441176EE" w:rsidR="00511214" w:rsidRDefault="00511214" w:rsidP="00511214">
            <w:pPr>
              <w:bidi w:val="0"/>
            </w:pPr>
            <w:r>
              <w:t>a — a manufacturing site for an active substance, intermediate or finished product, packaging site, manufacturer responsible for batch release, site where batch control takes place, or supplier of a starting material for an active substance, reagent or excipient (when mentioned in the dossier)</w:t>
            </w:r>
          </w:p>
        </w:tc>
        <w:tc>
          <w:tcPr>
            <w:tcW w:w="1134" w:type="dxa"/>
            <w:vAlign w:val="center"/>
          </w:tcPr>
          <w:p w14:paraId="6E2D2786" w14:textId="77777777" w:rsidR="00511214" w:rsidRDefault="00511214" w:rsidP="002C0568">
            <w:pPr>
              <w:bidi w:val="0"/>
              <w:jc w:val="center"/>
              <w:rPr>
                <w:rFonts w:hint="cs"/>
                <w:rtl/>
              </w:rPr>
            </w:pPr>
          </w:p>
        </w:tc>
        <w:tc>
          <w:tcPr>
            <w:tcW w:w="1417" w:type="dxa"/>
            <w:vAlign w:val="center"/>
          </w:tcPr>
          <w:p w14:paraId="55523CA9" w14:textId="6D0C6D63" w:rsidR="00511214" w:rsidRDefault="00511214" w:rsidP="002C0568">
            <w:pPr>
              <w:bidi w:val="0"/>
              <w:jc w:val="center"/>
              <w:rPr>
                <w:rFonts w:asciiTheme="majorBidi" w:hAnsiTheme="majorBidi" w:cs="David"/>
                <w:szCs w:val="24"/>
              </w:rPr>
            </w:pPr>
            <w:r>
              <w:rPr>
                <w:rFonts w:asciiTheme="majorBidi" w:hAnsiTheme="majorBidi" w:cs="David" w:hint="cs"/>
                <w:szCs w:val="24"/>
              </w:rPr>
              <w:t>X</w:t>
            </w:r>
          </w:p>
        </w:tc>
        <w:tc>
          <w:tcPr>
            <w:tcW w:w="1355" w:type="dxa"/>
            <w:vAlign w:val="center"/>
          </w:tcPr>
          <w:p w14:paraId="4EEDF855" w14:textId="10CD6282" w:rsidR="00511214" w:rsidRDefault="00511214" w:rsidP="002C0568">
            <w:pPr>
              <w:bidi w:val="0"/>
              <w:jc w:val="center"/>
              <w:rPr>
                <w:rFonts w:asciiTheme="majorBidi" w:hAnsiTheme="majorBidi" w:cs="David"/>
                <w:szCs w:val="24"/>
              </w:rPr>
            </w:pPr>
            <w:r>
              <w:rPr>
                <w:rFonts w:asciiTheme="majorBidi" w:hAnsiTheme="majorBidi" w:cs="David"/>
                <w:szCs w:val="24"/>
              </w:rPr>
              <w:t>VRA</w:t>
            </w:r>
          </w:p>
        </w:tc>
      </w:tr>
      <w:tr w:rsidR="00511214" w14:paraId="42C41D40" w14:textId="77777777" w:rsidTr="00511214">
        <w:tc>
          <w:tcPr>
            <w:tcW w:w="4390" w:type="dxa"/>
            <w:vAlign w:val="center"/>
          </w:tcPr>
          <w:p w14:paraId="7425924B" w14:textId="3248CC4D" w:rsidR="00511214" w:rsidRDefault="00511214" w:rsidP="00511214">
            <w:pPr>
              <w:bidi w:val="0"/>
            </w:pPr>
            <w:r>
              <w:t xml:space="preserve">f — one of the </w:t>
            </w:r>
            <w:proofErr w:type="spellStart"/>
            <w:r>
              <w:t>authorised</w:t>
            </w:r>
            <w:proofErr w:type="spellEnd"/>
            <w:r>
              <w:t xml:space="preserve"> bulk or final containers (including packaging of an active substance) or immediate packaging of the finished product that does not lead to the complete deletion of a strength or pharmaceutical form</w:t>
            </w:r>
          </w:p>
        </w:tc>
        <w:tc>
          <w:tcPr>
            <w:tcW w:w="1134" w:type="dxa"/>
            <w:vAlign w:val="center"/>
          </w:tcPr>
          <w:p w14:paraId="606A3756" w14:textId="77777777" w:rsidR="00511214" w:rsidRDefault="00511214" w:rsidP="002C0568">
            <w:pPr>
              <w:bidi w:val="0"/>
              <w:jc w:val="center"/>
              <w:rPr>
                <w:rFonts w:hint="cs"/>
                <w:rtl/>
              </w:rPr>
            </w:pPr>
          </w:p>
        </w:tc>
        <w:tc>
          <w:tcPr>
            <w:tcW w:w="1417" w:type="dxa"/>
            <w:vAlign w:val="center"/>
          </w:tcPr>
          <w:p w14:paraId="65D9D441" w14:textId="2DD26CDB" w:rsidR="00511214" w:rsidRDefault="00511214" w:rsidP="002C0568">
            <w:pPr>
              <w:bidi w:val="0"/>
              <w:jc w:val="center"/>
              <w:rPr>
                <w:rFonts w:asciiTheme="majorBidi" w:hAnsiTheme="majorBidi" w:cs="David"/>
                <w:szCs w:val="24"/>
              </w:rPr>
            </w:pPr>
            <w:r>
              <w:rPr>
                <w:rFonts w:asciiTheme="majorBidi" w:hAnsiTheme="majorBidi" w:cs="David"/>
                <w:szCs w:val="24"/>
              </w:rPr>
              <w:t>X</w:t>
            </w:r>
          </w:p>
        </w:tc>
        <w:tc>
          <w:tcPr>
            <w:tcW w:w="1355" w:type="dxa"/>
            <w:vAlign w:val="center"/>
          </w:tcPr>
          <w:p w14:paraId="70B09EAC" w14:textId="7CA6E0F3" w:rsidR="00511214" w:rsidRDefault="00511214" w:rsidP="002C0568">
            <w:pPr>
              <w:bidi w:val="0"/>
              <w:jc w:val="center"/>
              <w:rPr>
                <w:rFonts w:asciiTheme="majorBidi" w:hAnsiTheme="majorBidi" w:cs="David"/>
                <w:szCs w:val="24"/>
              </w:rPr>
            </w:pPr>
            <w:r>
              <w:rPr>
                <w:rFonts w:asciiTheme="majorBidi" w:hAnsiTheme="majorBidi" w:cs="David"/>
                <w:szCs w:val="24"/>
              </w:rPr>
              <w:t>VNRA</w:t>
            </w:r>
          </w:p>
        </w:tc>
      </w:tr>
      <w:tr w:rsidR="00511214" w14:paraId="11C19496" w14:textId="77777777" w:rsidTr="00511214">
        <w:tc>
          <w:tcPr>
            <w:tcW w:w="4390" w:type="dxa"/>
            <w:vAlign w:val="center"/>
          </w:tcPr>
          <w:p w14:paraId="78A30852" w14:textId="2910D0DA" w:rsidR="00511214" w:rsidRDefault="00511214" w:rsidP="00511214">
            <w:pPr>
              <w:bidi w:val="0"/>
            </w:pPr>
            <w:proofErr w:type="spellStart"/>
            <w:r>
              <w:t>i</w:t>
            </w:r>
            <w:proofErr w:type="spellEnd"/>
            <w:r>
              <w:t xml:space="preserve"> — a component or components of the </w:t>
            </w:r>
            <w:proofErr w:type="spellStart"/>
            <w:r>
              <w:t>flavouring</w:t>
            </w:r>
            <w:proofErr w:type="spellEnd"/>
            <w:r>
              <w:t xml:space="preserve"> or </w:t>
            </w:r>
            <w:proofErr w:type="spellStart"/>
            <w:r>
              <w:t>colouring</w:t>
            </w:r>
            <w:proofErr w:type="spellEnd"/>
            <w:r>
              <w:t xml:space="preserve"> system</w:t>
            </w:r>
          </w:p>
        </w:tc>
        <w:tc>
          <w:tcPr>
            <w:tcW w:w="1134" w:type="dxa"/>
            <w:vAlign w:val="center"/>
          </w:tcPr>
          <w:p w14:paraId="21833D75" w14:textId="77777777" w:rsidR="00511214" w:rsidRDefault="00511214" w:rsidP="002C0568">
            <w:pPr>
              <w:bidi w:val="0"/>
              <w:jc w:val="center"/>
              <w:rPr>
                <w:rFonts w:hint="cs"/>
                <w:rtl/>
              </w:rPr>
            </w:pPr>
          </w:p>
        </w:tc>
        <w:tc>
          <w:tcPr>
            <w:tcW w:w="1417" w:type="dxa"/>
            <w:vAlign w:val="center"/>
          </w:tcPr>
          <w:p w14:paraId="42D97B29" w14:textId="0528F75E" w:rsidR="00511214" w:rsidRDefault="00511214" w:rsidP="002C0568">
            <w:pPr>
              <w:bidi w:val="0"/>
              <w:jc w:val="center"/>
              <w:rPr>
                <w:rFonts w:asciiTheme="majorBidi" w:hAnsiTheme="majorBidi" w:cs="David"/>
                <w:szCs w:val="24"/>
              </w:rPr>
            </w:pPr>
            <w:r>
              <w:rPr>
                <w:rFonts w:asciiTheme="majorBidi" w:hAnsiTheme="majorBidi" w:cs="David"/>
                <w:szCs w:val="24"/>
              </w:rPr>
              <w:t>X</w:t>
            </w:r>
          </w:p>
        </w:tc>
        <w:tc>
          <w:tcPr>
            <w:tcW w:w="1355" w:type="dxa"/>
            <w:vAlign w:val="center"/>
          </w:tcPr>
          <w:p w14:paraId="2C569C94" w14:textId="0FA67F28" w:rsidR="00511214" w:rsidRDefault="00511214" w:rsidP="002C0568">
            <w:pPr>
              <w:bidi w:val="0"/>
              <w:jc w:val="center"/>
              <w:rPr>
                <w:rFonts w:asciiTheme="majorBidi" w:hAnsiTheme="majorBidi" w:cs="David"/>
                <w:szCs w:val="24"/>
              </w:rPr>
            </w:pPr>
            <w:r>
              <w:rPr>
                <w:rFonts w:asciiTheme="majorBidi" w:hAnsiTheme="majorBidi" w:cs="David"/>
                <w:szCs w:val="24"/>
              </w:rPr>
              <w:t>VRA</w:t>
            </w:r>
          </w:p>
        </w:tc>
      </w:tr>
      <w:tr w:rsidR="00511214" w14:paraId="66949C0C" w14:textId="77777777" w:rsidTr="00511214">
        <w:tc>
          <w:tcPr>
            <w:tcW w:w="4390" w:type="dxa"/>
            <w:vAlign w:val="center"/>
          </w:tcPr>
          <w:p w14:paraId="4A6E0885" w14:textId="0168E93E" w:rsidR="00511214" w:rsidRDefault="00511214" w:rsidP="00511214">
            <w:pPr>
              <w:bidi w:val="0"/>
            </w:pPr>
            <w:r>
              <w:t>j — a solvent or diluent container from the pack</w:t>
            </w:r>
          </w:p>
        </w:tc>
        <w:tc>
          <w:tcPr>
            <w:tcW w:w="1134" w:type="dxa"/>
            <w:vAlign w:val="center"/>
          </w:tcPr>
          <w:p w14:paraId="7A49C1D6" w14:textId="30C89C7B" w:rsidR="00511214" w:rsidRDefault="00511214" w:rsidP="002C0568">
            <w:pPr>
              <w:bidi w:val="0"/>
              <w:jc w:val="center"/>
              <w:rPr>
                <w:rFonts w:hint="cs"/>
                <w:rtl/>
              </w:rPr>
            </w:pPr>
            <w:r>
              <w:rPr>
                <w:rFonts w:asciiTheme="majorBidi" w:hAnsiTheme="majorBidi" w:cs="David" w:hint="cs"/>
                <w:szCs w:val="24"/>
              </w:rPr>
              <w:t>X</w:t>
            </w:r>
          </w:p>
        </w:tc>
        <w:tc>
          <w:tcPr>
            <w:tcW w:w="1417" w:type="dxa"/>
            <w:vAlign w:val="center"/>
          </w:tcPr>
          <w:p w14:paraId="7A9E21AE" w14:textId="77777777" w:rsidR="00511214" w:rsidRDefault="00511214" w:rsidP="002C0568">
            <w:pPr>
              <w:bidi w:val="0"/>
              <w:jc w:val="center"/>
              <w:rPr>
                <w:rFonts w:asciiTheme="majorBidi" w:hAnsiTheme="majorBidi" w:cs="David"/>
                <w:szCs w:val="24"/>
              </w:rPr>
            </w:pPr>
          </w:p>
        </w:tc>
        <w:tc>
          <w:tcPr>
            <w:tcW w:w="1355" w:type="dxa"/>
            <w:vAlign w:val="center"/>
          </w:tcPr>
          <w:p w14:paraId="1F7F02A1" w14:textId="1B27F3ED" w:rsidR="00511214" w:rsidRDefault="00511214" w:rsidP="002C0568">
            <w:pPr>
              <w:bidi w:val="0"/>
              <w:jc w:val="center"/>
              <w:rPr>
                <w:rFonts w:asciiTheme="majorBidi" w:hAnsiTheme="majorBidi" w:cs="David"/>
                <w:szCs w:val="24"/>
              </w:rPr>
            </w:pPr>
            <w:r>
              <w:rPr>
                <w:rFonts w:asciiTheme="majorBidi" w:hAnsiTheme="majorBidi" w:cs="David"/>
                <w:szCs w:val="24"/>
              </w:rPr>
              <w:t>VNRA</w:t>
            </w:r>
          </w:p>
        </w:tc>
      </w:tr>
      <w:tr w:rsidR="00511214" w14:paraId="3B6652FA" w14:textId="77777777" w:rsidTr="00511214">
        <w:tc>
          <w:tcPr>
            <w:tcW w:w="4390" w:type="dxa"/>
            <w:vAlign w:val="center"/>
          </w:tcPr>
          <w:p w14:paraId="6E337616" w14:textId="66C596E3" w:rsidR="00511214" w:rsidRDefault="00511214" w:rsidP="00511214">
            <w:pPr>
              <w:bidi w:val="0"/>
            </w:pPr>
            <w:r>
              <w:t>o — a measuring or administration device</w:t>
            </w:r>
          </w:p>
        </w:tc>
        <w:tc>
          <w:tcPr>
            <w:tcW w:w="1134" w:type="dxa"/>
            <w:vAlign w:val="center"/>
          </w:tcPr>
          <w:p w14:paraId="47462241" w14:textId="453A651C" w:rsidR="00511214" w:rsidRDefault="00511214" w:rsidP="002C0568">
            <w:pPr>
              <w:bidi w:val="0"/>
              <w:jc w:val="center"/>
              <w:rPr>
                <w:rFonts w:hint="cs"/>
                <w:rtl/>
              </w:rPr>
            </w:pPr>
            <w:r>
              <w:rPr>
                <w:rFonts w:asciiTheme="majorBidi" w:hAnsiTheme="majorBidi" w:cs="David"/>
                <w:szCs w:val="24"/>
              </w:rPr>
              <w:t>X</w:t>
            </w:r>
          </w:p>
        </w:tc>
        <w:tc>
          <w:tcPr>
            <w:tcW w:w="1417" w:type="dxa"/>
            <w:vAlign w:val="center"/>
          </w:tcPr>
          <w:p w14:paraId="689CDF9E" w14:textId="77777777" w:rsidR="00511214" w:rsidRDefault="00511214" w:rsidP="002C0568">
            <w:pPr>
              <w:bidi w:val="0"/>
              <w:jc w:val="center"/>
              <w:rPr>
                <w:rFonts w:asciiTheme="majorBidi" w:hAnsiTheme="majorBidi" w:cs="David"/>
                <w:szCs w:val="24"/>
              </w:rPr>
            </w:pPr>
          </w:p>
        </w:tc>
        <w:tc>
          <w:tcPr>
            <w:tcW w:w="1355" w:type="dxa"/>
            <w:vAlign w:val="center"/>
          </w:tcPr>
          <w:p w14:paraId="653B9F97" w14:textId="6C45AED9" w:rsidR="00511214" w:rsidRDefault="00511214" w:rsidP="002C0568">
            <w:pPr>
              <w:bidi w:val="0"/>
              <w:jc w:val="center"/>
              <w:rPr>
                <w:rFonts w:asciiTheme="majorBidi" w:hAnsiTheme="majorBidi" w:cs="David"/>
                <w:szCs w:val="24"/>
              </w:rPr>
            </w:pPr>
            <w:r>
              <w:rPr>
                <w:rFonts w:asciiTheme="majorBidi" w:hAnsiTheme="majorBidi" w:cs="David"/>
                <w:szCs w:val="24"/>
              </w:rPr>
              <w:t>VNRA</w:t>
            </w:r>
          </w:p>
        </w:tc>
      </w:tr>
      <w:tr w:rsidR="00511214" w14:paraId="62C00439" w14:textId="77777777" w:rsidTr="00511214">
        <w:tc>
          <w:tcPr>
            <w:tcW w:w="4390" w:type="dxa"/>
            <w:vAlign w:val="center"/>
          </w:tcPr>
          <w:p w14:paraId="5F8A029B" w14:textId="4851A634" w:rsidR="00511214" w:rsidRDefault="00511214" w:rsidP="00511214">
            <w:pPr>
              <w:bidi w:val="0"/>
            </w:pPr>
            <w:r>
              <w:t xml:space="preserve"> p — a non-significant specification parameter (</w:t>
            </w:r>
            <w:proofErr w:type="gramStart"/>
            <w:r>
              <w:t>e.g.</w:t>
            </w:r>
            <w:proofErr w:type="gramEnd"/>
            <w:r>
              <w:t xml:space="preserve"> deletion of an obsolete parameter) of a measuring or administration device</w:t>
            </w:r>
          </w:p>
        </w:tc>
        <w:tc>
          <w:tcPr>
            <w:tcW w:w="1134" w:type="dxa"/>
            <w:vAlign w:val="center"/>
          </w:tcPr>
          <w:p w14:paraId="7F61FDF7" w14:textId="77777777" w:rsidR="00511214" w:rsidRDefault="00511214" w:rsidP="002C0568">
            <w:pPr>
              <w:bidi w:val="0"/>
              <w:jc w:val="center"/>
              <w:rPr>
                <w:rFonts w:asciiTheme="majorBidi" w:hAnsiTheme="majorBidi" w:cs="David"/>
                <w:szCs w:val="24"/>
              </w:rPr>
            </w:pPr>
            <w:r>
              <w:rPr>
                <w:rFonts w:asciiTheme="majorBidi" w:hAnsiTheme="majorBidi" w:cs="David"/>
                <w:szCs w:val="24"/>
              </w:rPr>
              <w:t>X</w:t>
            </w:r>
          </w:p>
          <w:p w14:paraId="4C92E094" w14:textId="77777777" w:rsidR="00511214" w:rsidRDefault="00511214" w:rsidP="002C0568">
            <w:pPr>
              <w:bidi w:val="0"/>
              <w:jc w:val="center"/>
              <w:rPr>
                <w:rFonts w:hint="cs"/>
                <w:rtl/>
              </w:rPr>
            </w:pPr>
          </w:p>
        </w:tc>
        <w:tc>
          <w:tcPr>
            <w:tcW w:w="1417" w:type="dxa"/>
            <w:vAlign w:val="center"/>
          </w:tcPr>
          <w:p w14:paraId="39BE79AA" w14:textId="77777777" w:rsidR="00511214" w:rsidRDefault="00511214" w:rsidP="002C0568">
            <w:pPr>
              <w:bidi w:val="0"/>
              <w:jc w:val="center"/>
              <w:rPr>
                <w:rFonts w:asciiTheme="majorBidi" w:hAnsiTheme="majorBidi" w:cs="David"/>
                <w:szCs w:val="24"/>
              </w:rPr>
            </w:pPr>
          </w:p>
        </w:tc>
        <w:tc>
          <w:tcPr>
            <w:tcW w:w="1355" w:type="dxa"/>
            <w:vAlign w:val="center"/>
          </w:tcPr>
          <w:p w14:paraId="5B4E37D0" w14:textId="6D58EE34" w:rsidR="00511214" w:rsidRDefault="00511214" w:rsidP="002C0568">
            <w:pPr>
              <w:bidi w:val="0"/>
              <w:jc w:val="center"/>
              <w:rPr>
                <w:rFonts w:asciiTheme="majorBidi" w:hAnsiTheme="majorBidi" w:cs="David"/>
                <w:szCs w:val="24"/>
              </w:rPr>
            </w:pPr>
            <w:r>
              <w:rPr>
                <w:rFonts w:asciiTheme="majorBidi" w:hAnsiTheme="majorBidi" w:cs="David"/>
                <w:szCs w:val="24"/>
              </w:rPr>
              <w:t>VNRA</w:t>
            </w:r>
          </w:p>
        </w:tc>
      </w:tr>
      <w:tr w:rsidR="00511214" w14:paraId="12AB9846" w14:textId="77777777" w:rsidTr="00511214">
        <w:tc>
          <w:tcPr>
            <w:tcW w:w="4390" w:type="dxa"/>
            <w:vAlign w:val="center"/>
          </w:tcPr>
          <w:p w14:paraId="723793E0" w14:textId="5BFD74F8" w:rsidR="00511214" w:rsidRDefault="00511214" w:rsidP="00511214">
            <w:pPr>
              <w:bidi w:val="0"/>
            </w:pPr>
            <w:r>
              <w:t>q — a test procedure of a measuring or administration device</w:t>
            </w:r>
          </w:p>
        </w:tc>
        <w:tc>
          <w:tcPr>
            <w:tcW w:w="1134" w:type="dxa"/>
            <w:vAlign w:val="center"/>
          </w:tcPr>
          <w:p w14:paraId="257D2922" w14:textId="77777777" w:rsidR="00511214" w:rsidRDefault="00511214" w:rsidP="002C0568">
            <w:pPr>
              <w:bidi w:val="0"/>
              <w:jc w:val="center"/>
              <w:rPr>
                <w:rFonts w:asciiTheme="majorBidi" w:hAnsiTheme="majorBidi" w:cs="David"/>
                <w:szCs w:val="24"/>
              </w:rPr>
            </w:pPr>
            <w:r>
              <w:rPr>
                <w:rFonts w:asciiTheme="majorBidi" w:hAnsiTheme="majorBidi" w:cs="David"/>
                <w:szCs w:val="24"/>
              </w:rPr>
              <w:t>X</w:t>
            </w:r>
          </w:p>
          <w:p w14:paraId="5930F594" w14:textId="77777777" w:rsidR="00511214" w:rsidRDefault="00511214" w:rsidP="002C0568">
            <w:pPr>
              <w:bidi w:val="0"/>
              <w:jc w:val="center"/>
              <w:rPr>
                <w:rFonts w:asciiTheme="majorBidi" w:hAnsiTheme="majorBidi" w:cs="David"/>
                <w:szCs w:val="24"/>
              </w:rPr>
            </w:pPr>
          </w:p>
        </w:tc>
        <w:tc>
          <w:tcPr>
            <w:tcW w:w="1417" w:type="dxa"/>
            <w:vAlign w:val="center"/>
          </w:tcPr>
          <w:p w14:paraId="464A1CAF" w14:textId="77777777" w:rsidR="00511214" w:rsidRDefault="00511214" w:rsidP="002C0568">
            <w:pPr>
              <w:bidi w:val="0"/>
              <w:jc w:val="center"/>
              <w:rPr>
                <w:rFonts w:asciiTheme="majorBidi" w:hAnsiTheme="majorBidi" w:cs="David"/>
                <w:szCs w:val="24"/>
              </w:rPr>
            </w:pPr>
          </w:p>
        </w:tc>
        <w:tc>
          <w:tcPr>
            <w:tcW w:w="1355" w:type="dxa"/>
            <w:vAlign w:val="center"/>
          </w:tcPr>
          <w:p w14:paraId="243B5153" w14:textId="4D9FCB6D" w:rsidR="00511214" w:rsidRDefault="00511214" w:rsidP="002C0568">
            <w:pPr>
              <w:bidi w:val="0"/>
              <w:jc w:val="center"/>
              <w:rPr>
                <w:rFonts w:asciiTheme="majorBidi" w:hAnsiTheme="majorBidi" w:cs="David"/>
                <w:szCs w:val="24"/>
              </w:rPr>
            </w:pPr>
            <w:r>
              <w:rPr>
                <w:rFonts w:asciiTheme="majorBidi" w:hAnsiTheme="majorBidi" w:cs="David"/>
                <w:szCs w:val="24"/>
              </w:rPr>
              <w:t>VNRA</w:t>
            </w:r>
          </w:p>
        </w:tc>
      </w:tr>
    </w:tbl>
    <w:p w14:paraId="36ED722A" w14:textId="144B7796" w:rsidR="005E3BD6" w:rsidRDefault="00894540">
      <w:pPr>
        <w:rPr>
          <w:rFonts w:hint="cs"/>
          <w:rtl/>
        </w:rPr>
      </w:pPr>
      <w:r>
        <w:rPr>
          <w:rFonts w:hint="cs"/>
          <w:rtl/>
        </w:rPr>
        <w:t xml:space="preserve">   </w:t>
      </w:r>
    </w:p>
    <w:tbl>
      <w:tblPr>
        <w:tblStyle w:val="a3"/>
        <w:tblpPr w:leftFromText="181" w:rightFromText="181" w:vertAnchor="page" w:tblpXSpec="center" w:tblpY="1"/>
        <w:tblOverlap w:val="never"/>
        <w:tblW w:w="9721" w:type="dxa"/>
        <w:tblLayout w:type="fixed"/>
        <w:tblLook w:val="04A0" w:firstRow="1" w:lastRow="0" w:firstColumn="1" w:lastColumn="0" w:noHBand="0" w:noVBand="1"/>
      </w:tblPr>
      <w:tblGrid>
        <w:gridCol w:w="4894"/>
        <w:gridCol w:w="1609"/>
        <w:gridCol w:w="1609"/>
        <w:gridCol w:w="1609"/>
      </w:tblGrid>
      <w:tr w:rsidR="005E3BD6" w:rsidRPr="001C254B" w14:paraId="36F9E83A" w14:textId="77777777" w:rsidTr="005E3BD6">
        <w:trPr>
          <w:cantSplit/>
          <w:trHeight w:val="397"/>
          <w:tblHeader/>
        </w:trPr>
        <w:tc>
          <w:tcPr>
            <w:tcW w:w="4894" w:type="dxa"/>
            <w:noWrap/>
            <w:vAlign w:val="center"/>
          </w:tcPr>
          <w:p w14:paraId="6131102D" w14:textId="77777777" w:rsidR="005E3BD6" w:rsidRDefault="005E3BD6" w:rsidP="005E3BD6">
            <w:pPr>
              <w:bidi w:val="0"/>
            </w:pPr>
            <w:r>
              <w:lastRenderedPageBreak/>
              <w:t>r — pack size(s) of the finished product</w:t>
            </w:r>
          </w:p>
        </w:tc>
        <w:tc>
          <w:tcPr>
            <w:tcW w:w="1609" w:type="dxa"/>
            <w:noWrap/>
            <w:vAlign w:val="center"/>
          </w:tcPr>
          <w:p w14:paraId="32467560" w14:textId="77777777" w:rsidR="005E3BD6" w:rsidRDefault="005E3BD6" w:rsidP="005E3BD6">
            <w:pPr>
              <w:jc w:val="center"/>
              <w:rPr>
                <w:rFonts w:asciiTheme="majorBidi" w:hAnsiTheme="majorBidi" w:cs="David"/>
                <w:szCs w:val="24"/>
              </w:rPr>
            </w:pPr>
          </w:p>
        </w:tc>
        <w:tc>
          <w:tcPr>
            <w:tcW w:w="1609" w:type="dxa"/>
            <w:noWrap/>
            <w:vAlign w:val="center"/>
          </w:tcPr>
          <w:p w14:paraId="5411B459"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46409751"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3CC8C708" w14:textId="77777777" w:rsidTr="005E3BD6">
        <w:trPr>
          <w:cantSplit/>
          <w:trHeight w:val="397"/>
          <w:tblHeader/>
        </w:trPr>
        <w:tc>
          <w:tcPr>
            <w:tcW w:w="4894" w:type="dxa"/>
            <w:noWrap/>
            <w:vAlign w:val="center"/>
          </w:tcPr>
          <w:p w14:paraId="2C4EBED5" w14:textId="77777777" w:rsidR="005E3BD6" w:rsidRDefault="005E3BD6" w:rsidP="005E3BD6">
            <w:pPr>
              <w:bidi w:val="0"/>
            </w:pPr>
            <w:r>
              <w:t>v — a pharmaceutical form or strength</w:t>
            </w:r>
          </w:p>
        </w:tc>
        <w:tc>
          <w:tcPr>
            <w:tcW w:w="1609" w:type="dxa"/>
            <w:noWrap/>
            <w:vAlign w:val="center"/>
          </w:tcPr>
          <w:p w14:paraId="63FBA8F9" w14:textId="77777777" w:rsidR="005E3BD6" w:rsidRDefault="005E3BD6" w:rsidP="005E3BD6">
            <w:pPr>
              <w:jc w:val="center"/>
              <w:rPr>
                <w:rFonts w:asciiTheme="majorBidi" w:hAnsiTheme="majorBidi" w:cs="David"/>
                <w:szCs w:val="24"/>
              </w:rPr>
            </w:pPr>
            <w:r w:rsidRPr="000B71D9">
              <w:rPr>
                <w:rFonts w:asciiTheme="majorBidi" w:hAnsiTheme="majorBidi" w:cs="David" w:hint="cs"/>
                <w:color w:val="002060"/>
                <w:szCs w:val="24"/>
              </w:rPr>
              <w:t>X</w:t>
            </w:r>
          </w:p>
        </w:tc>
        <w:tc>
          <w:tcPr>
            <w:tcW w:w="1609" w:type="dxa"/>
            <w:noWrap/>
            <w:vAlign w:val="center"/>
          </w:tcPr>
          <w:p w14:paraId="488E501E" w14:textId="77777777" w:rsidR="005E3BD6" w:rsidRDefault="005E3BD6" w:rsidP="005E3BD6">
            <w:pPr>
              <w:jc w:val="center"/>
              <w:rPr>
                <w:rFonts w:asciiTheme="majorBidi" w:hAnsiTheme="majorBidi" w:cs="David"/>
                <w:szCs w:val="24"/>
              </w:rPr>
            </w:pPr>
          </w:p>
        </w:tc>
        <w:tc>
          <w:tcPr>
            <w:tcW w:w="1609" w:type="dxa"/>
            <w:vAlign w:val="center"/>
          </w:tcPr>
          <w:p w14:paraId="16A46BD0"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00945A35" w14:textId="77777777" w:rsidTr="005E3BD6">
        <w:trPr>
          <w:cantSplit/>
          <w:trHeight w:val="397"/>
          <w:tblHeader/>
        </w:trPr>
        <w:tc>
          <w:tcPr>
            <w:tcW w:w="4894" w:type="dxa"/>
            <w:noWrap/>
            <w:vAlign w:val="center"/>
          </w:tcPr>
          <w:p w14:paraId="7D8847C8" w14:textId="77777777" w:rsidR="005E3BD6" w:rsidRDefault="005E3BD6" w:rsidP="005E3BD6">
            <w:pPr>
              <w:bidi w:val="0"/>
            </w:pPr>
          </w:p>
        </w:tc>
        <w:tc>
          <w:tcPr>
            <w:tcW w:w="4827" w:type="dxa"/>
            <w:gridSpan w:val="3"/>
            <w:noWrap/>
            <w:vAlign w:val="center"/>
          </w:tcPr>
          <w:p w14:paraId="7036C79A" w14:textId="77777777" w:rsidR="005E3BD6" w:rsidRDefault="005E3BD6" w:rsidP="005E3BD6">
            <w:pPr>
              <w:jc w:val="center"/>
              <w:rPr>
                <w:rFonts w:asciiTheme="majorBidi" w:hAnsiTheme="majorBidi" w:cs="David"/>
                <w:szCs w:val="24"/>
              </w:rPr>
            </w:pPr>
          </w:p>
        </w:tc>
      </w:tr>
      <w:tr w:rsidR="005E3BD6" w:rsidRPr="001C254B" w14:paraId="72C4D3FF" w14:textId="77777777" w:rsidTr="005E3BD6">
        <w:trPr>
          <w:cantSplit/>
          <w:trHeight w:val="397"/>
          <w:tblHeader/>
        </w:trPr>
        <w:tc>
          <w:tcPr>
            <w:tcW w:w="4894" w:type="dxa"/>
            <w:noWrap/>
            <w:vAlign w:val="center"/>
          </w:tcPr>
          <w:p w14:paraId="56554F16" w14:textId="77777777" w:rsidR="005E3BD6" w:rsidRDefault="005E3BD6" w:rsidP="005E3BD6">
            <w:pPr>
              <w:bidi w:val="0"/>
            </w:pPr>
            <w:r>
              <w:t>B.16 Change or addition of imprints, bossing or other markings including replacement, or addition of inks used for product marking of the finished product</w:t>
            </w:r>
          </w:p>
        </w:tc>
        <w:tc>
          <w:tcPr>
            <w:tcW w:w="1609" w:type="dxa"/>
            <w:noWrap/>
            <w:vAlign w:val="center"/>
          </w:tcPr>
          <w:p w14:paraId="21C7E2CD" w14:textId="77777777" w:rsidR="005E3BD6" w:rsidRDefault="005E3BD6" w:rsidP="005E3BD6">
            <w:pPr>
              <w:jc w:val="center"/>
              <w:rPr>
                <w:rFonts w:asciiTheme="majorBidi" w:hAnsiTheme="majorBidi" w:cs="David"/>
                <w:szCs w:val="24"/>
              </w:rPr>
            </w:pPr>
          </w:p>
        </w:tc>
        <w:tc>
          <w:tcPr>
            <w:tcW w:w="1609" w:type="dxa"/>
            <w:noWrap/>
            <w:vAlign w:val="center"/>
          </w:tcPr>
          <w:p w14:paraId="0C548F51"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230ADCC9"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00A8E702" w14:textId="77777777" w:rsidTr="005E3BD6">
        <w:trPr>
          <w:cantSplit/>
          <w:trHeight w:val="397"/>
          <w:tblHeader/>
        </w:trPr>
        <w:tc>
          <w:tcPr>
            <w:tcW w:w="4894" w:type="dxa"/>
            <w:noWrap/>
            <w:vAlign w:val="center"/>
          </w:tcPr>
          <w:p w14:paraId="0405DAB2" w14:textId="77777777" w:rsidR="005E3BD6" w:rsidRDefault="005E3BD6" w:rsidP="005E3BD6">
            <w:pPr>
              <w:bidi w:val="0"/>
            </w:pPr>
            <w:r>
              <w:t>B.17 Change in the shape or dimensions of the pharmaceutical form for immediate release tablets, capsules, suppositories and pessaries</w:t>
            </w:r>
          </w:p>
        </w:tc>
        <w:tc>
          <w:tcPr>
            <w:tcW w:w="1609" w:type="dxa"/>
            <w:noWrap/>
            <w:vAlign w:val="center"/>
          </w:tcPr>
          <w:p w14:paraId="6FA39848" w14:textId="77777777" w:rsidR="005E3BD6" w:rsidRDefault="005E3BD6" w:rsidP="005E3BD6">
            <w:pPr>
              <w:jc w:val="center"/>
              <w:rPr>
                <w:rFonts w:asciiTheme="majorBidi" w:hAnsiTheme="majorBidi" w:cs="David"/>
                <w:szCs w:val="24"/>
              </w:rPr>
            </w:pPr>
          </w:p>
        </w:tc>
        <w:tc>
          <w:tcPr>
            <w:tcW w:w="1609" w:type="dxa"/>
            <w:noWrap/>
            <w:vAlign w:val="center"/>
          </w:tcPr>
          <w:p w14:paraId="7215F624"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4F90CA2C"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062F7619" w14:textId="77777777" w:rsidTr="005E3BD6">
        <w:trPr>
          <w:gridAfter w:val="2"/>
          <w:wAfter w:w="3218" w:type="dxa"/>
          <w:cantSplit/>
          <w:trHeight w:val="397"/>
          <w:tblHeader/>
        </w:trPr>
        <w:tc>
          <w:tcPr>
            <w:tcW w:w="4894" w:type="dxa"/>
            <w:noWrap/>
            <w:vAlign w:val="center"/>
          </w:tcPr>
          <w:p w14:paraId="6AB2F637" w14:textId="77777777" w:rsidR="005E3BD6" w:rsidRDefault="005E3BD6" w:rsidP="005E3BD6">
            <w:pPr>
              <w:bidi w:val="0"/>
            </w:pPr>
            <w:r>
              <w:t>B.18 Change(s) in the composition (excipients) of a non-sterile finished product</w:t>
            </w:r>
          </w:p>
        </w:tc>
        <w:tc>
          <w:tcPr>
            <w:tcW w:w="1609" w:type="dxa"/>
          </w:tcPr>
          <w:p w14:paraId="6E9C888D" w14:textId="77777777" w:rsidR="005E3BD6" w:rsidRDefault="005E3BD6" w:rsidP="005E3BD6">
            <w:pPr>
              <w:bidi w:val="0"/>
            </w:pPr>
          </w:p>
        </w:tc>
      </w:tr>
      <w:tr w:rsidR="005E3BD6" w:rsidRPr="001C254B" w14:paraId="24F1A46D" w14:textId="77777777" w:rsidTr="005E3BD6">
        <w:trPr>
          <w:cantSplit/>
          <w:trHeight w:val="397"/>
          <w:tblHeader/>
        </w:trPr>
        <w:tc>
          <w:tcPr>
            <w:tcW w:w="4894" w:type="dxa"/>
            <w:noWrap/>
            <w:vAlign w:val="center"/>
          </w:tcPr>
          <w:p w14:paraId="65D24DB5" w14:textId="77777777" w:rsidR="005E3BD6" w:rsidRDefault="005E3BD6" w:rsidP="005E3BD6">
            <w:pPr>
              <w:bidi w:val="0"/>
            </w:pPr>
            <w:r>
              <w:t xml:space="preserve">a — increase or reduction of a component or components of the </w:t>
            </w:r>
            <w:proofErr w:type="spellStart"/>
            <w:r>
              <w:t>flavouring</w:t>
            </w:r>
            <w:proofErr w:type="spellEnd"/>
            <w:r>
              <w:t xml:space="preserve"> or </w:t>
            </w:r>
            <w:proofErr w:type="spellStart"/>
            <w:r>
              <w:t>colouring</w:t>
            </w:r>
            <w:proofErr w:type="spellEnd"/>
            <w:r>
              <w:t xml:space="preserve"> system</w:t>
            </w:r>
          </w:p>
        </w:tc>
        <w:tc>
          <w:tcPr>
            <w:tcW w:w="1609" w:type="dxa"/>
            <w:noWrap/>
            <w:vAlign w:val="center"/>
          </w:tcPr>
          <w:p w14:paraId="4FFC1489" w14:textId="77777777" w:rsidR="005E3BD6" w:rsidRDefault="005E3BD6" w:rsidP="005E3BD6">
            <w:pPr>
              <w:jc w:val="center"/>
              <w:rPr>
                <w:rFonts w:asciiTheme="majorBidi" w:hAnsiTheme="majorBidi" w:cs="David" w:hint="cs"/>
                <w:szCs w:val="24"/>
              </w:rPr>
            </w:pPr>
          </w:p>
        </w:tc>
        <w:tc>
          <w:tcPr>
            <w:tcW w:w="1609" w:type="dxa"/>
            <w:noWrap/>
            <w:vAlign w:val="center"/>
          </w:tcPr>
          <w:p w14:paraId="14ACA84F"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3EC19EB0"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2B693870" w14:textId="77777777" w:rsidTr="005E3BD6">
        <w:trPr>
          <w:cantSplit/>
          <w:trHeight w:val="397"/>
          <w:tblHeader/>
        </w:trPr>
        <w:tc>
          <w:tcPr>
            <w:tcW w:w="4894" w:type="dxa"/>
            <w:noWrap/>
            <w:vAlign w:val="center"/>
          </w:tcPr>
          <w:p w14:paraId="653D9EF2" w14:textId="77777777" w:rsidR="005E3BD6" w:rsidRDefault="005E3BD6" w:rsidP="005E3BD6">
            <w:pPr>
              <w:bidi w:val="0"/>
            </w:pPr>
            <w:r>
              <w:t>b — any minor adjustment of the quantitative composition of the finished product with respect to excipients</w:t>
            </w:r>
          </w:p>
        </w:tc>
        <w:tc>
          <w:tcPr>
            <w:tcW w:w="1609" w:type="dxa"/>
            <w:noWrap/>
            <w:vAlign w:val="center"/>
          </w:tcPr>
          <w:p w14:paraId="08079058" w14:textId="77777777" w:rsidR="005E3BD6" w:rsidRDefault="005E3BD6" w:rsidP="005E3BD6">
            <w:pPr>
              <w:jc w:val="center"/>
              <w:rPr>
                <w:rFonts w:asciiTheme="majorBidi" w:hAnsiTheme="majorBidi" w:cs="David"/>
                <w:szCs w:val="24"/>
              </w:rPr>
            </w:pPr>
          </w:p>
        </w:tc>
        <w:tc>
          <w:tcPr>
            <w:tcW w:w="1609" w:type="dxa"/>
            <w:noWrap/>
            <w:vAlign w:val="center"/>
          </w:tcPr>
          <w:p w14:paraId="25393F0F"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2034FA0B"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588C1A9E" w14:textId="77777777" w:rsidTr="005E3BD6">
        <w:trPr>
          <w:cantSplit/>
          <w:trHeight w:val="397"/>
          <w:tblHeader/>
        </w:trPr>
        <w:tc>
          <w:tcPr>
            <w:tcW w:w="4894" w:type="dxa"/>
            <w:noWrap/>
            <w:vAlign w:val="center"/>
          </w:tcPr>
          <w:p w14:paraId="7EA6DC41" w14:textId="77777777" w:rsidR="005E3BD6" w:rsidRDefault="005E3BD6" w:rsidP="005E3BD6">
            <w:pPr>
              <w:bidi w:val="0"/>
            </w:pPr>
            <w:r>
              <w:t xml:space="preserve">c — addition or replacement of a component or components of the </w:t>
            </w:r>
            <w:proofErr w:type="spellStart"/>
            <w:r>
              <w:t>flavouring</w:t>
            </w:r>
            <w:proofErr w:type="spellEnd"/>
            <w:r>
              <w:t xml:space="preserve"> or </w:t>
            </w:r>
            <w:proofErr w:type="spellStart"/>
            <w:r>
              <w:t>colouring</w:t>
            </w:r>
            <w:proofErr w:type="spellEnd"/>
            <w:r>
              <w:t xml:space="preserve"> system</w:t>
            </w:r>
          </w:p>
        </w:tc>
        <w:tc>
          <w:tcPr>
            <w:tcW w:w="1609" w:type="dxa"/>
            <w:noWrap/>
            <w:vAlign w:val="center"/>
          </w:tcPr>
          <w:p w14:paraId="625C92F6" w14:textId="77777777" w:rsidR="005E3BD6" w:rsidRDefault="005E3BD6" w:rsidP="005E3BD6">
            <w:pPr>
              <w:jc w:val="center"/>
              <w:rPr>
                <w:rFonts w:asciiTheme="majorBidi" w:hAnsiTheme="majorBidi" w:cs="David"/>
                <w:szCs w:val="24"/>
              </w:rPr>
            </w:pPr>
          </w:p>
        </w:tc>
        <w:tc>
          <w:tcPr>
            <w:tcW w:w="1609" w:type="dxa"/>
            <w:noWrap/>
            <w:vAlign w:val="center"/>
          </w:tcPr>
          <w:p w14:paraId="147ED032"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6005C60F"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61B47A5F" w14:textId="77777777" w:rsidTr="005E3BD6">
        <w:trPr>
          <w:cantSplit/>
          <w:trHeight w:val="397"/>
          <w:tblHeader/>
        </w:trPr>
        <w:tc>
          <w:tcPr>
            <w:tcW w:w="4894" w:type="dxa"/>
            <w:noWrap/>
            <w:vAlign w:val="center"/>
          </w:tcPr>
          <w:p w14:paraId="11E61231" w14:textId="77777777" w:rsidR="005E3BD6" w:rsidRDefault="005E3BD6" w:rsidP="005E3BD6">
            <w:pPr>
              <w:bidi w:val="0"/>
            </w:pPr>
            <w:r>
              <w:t>B.19 Change in coating weight of oral dosage forms or change in weight of capsule shells for a solid oral pharmaceutical form</w:t>
            </w:r>
          </w:p>
        </w:tc>
        <w:tc>
          <w:tcPr>
            <w:tcW w:w="1609" w:type="dxa"/>
            <w:noWrap/>
            <w:vAlign w:val="center"/>
          </w:tcPr>
          <w:p w14:paraId="42549FC4" w14:textId="77777777" w:rsidR="005E3BD6" w:rsidRDefault="005E3BD6" w:rsidP="005E3BD6">
            <w:pPr>
              <w:jc w:val="center"/>
              <w:rPr>
                <w:rFonts w:asciiTheme="majorBidi" w:hAnsiTheme="majorBidi" w:cs="David"/>
                <w:szCs w:val="24"/>
              </w:rPr>
            </w:pPr>
          </w:p>
        </w:tc>
        <w:tc>
          <w:tcPr>
            <w:tcW w:w="1609" w:type="dxa"/>
            <w:noWrap/>
            <w:vAlign w:val="center"/>
          </w:tcPr>
          <w:p w14:paraId="4382045C"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6DEE154F"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54B019A4" w14:textId="77777777" w:rsidTr="005E3BD6">
        <w:trPr>
          <w:cantSplit/>
          <w:trHeight w:val="397"/>
          <w:tblHeader/>
        </w:trPr>
        <w:tc>
          <w:tcPr>
            <w:tcW w:w="4894" w:type="dxa"/>
            <w:noWrap/>
            <w:vAlign w:val="center"/>
          </w:tcPr>
          <w:p w14:paraId="63C78652" w14:textId="77777777" w:rsidR="005E3BD6" w:rsidRDefault="005E3BD6" w:rsidP="005E3BD6">
            <w:pPr>
              <w:bidi w:val="0"/>
            </w:pPr>
            <w:r>
              <w:t>B.20 Replacement or addition of a primary packaging site of a non-sterile finished product</w:t>
            </w:r>
          </w:p>
        </w:tc>
        <w:tc>
          <w:tcPr>
            <w:tcW w:w="1609" w:type="dxa"/>
            <w:noWrap/>
            <w:vAlign w:val="center"/>
          </w:tcPr>
          <w:p w14:paraId="7878E2A2" w14:textId="77777777" w:rsidR="005E3BD6" w:rsidRDefault="005E3BD6" w:rsidP="005E3BD6">
            <w:pPr>
              <w:jc w:val="center"/>
              <w:rPr>
                <w:rFonts w:asciiTheme="majorBidi" w:hAnsiTheme="majorBidi" w:cs="David"/>
                <w:szCs w:val="24"/>
              </w:rPr>
            </w:pPr>
          </w:p>
        </w:tc>
        <w:tc>
          <w:tcPr>
            <w:tcW w:w="1609" w:type="dxa"/>
            <w:noWrap/>
            <w:vAlign w:val="center"/>
          </w:tcPr>
          <w:p w14:paraId="509B61CD"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7403E689"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1BC66F50" w14:textId="77777777" w:rsidTr="005E3BD6">
        <w:trPr>
          <w:cantSplit/>
          <w:trHeight w:val="397"/>
          <w:tblHeader/>
        </w:trPr>
        <w:tc>
          <w:tcPr>
            <w:tcW w:w="4894" w:type="dxa"/>
            <w:noWrap/>
            <w:vAlign w:val="center"/>
          </w:tcPr>
          <w:p w14:paraId="02D49CCC" w14:textId="77777777" w:rsidR="005E3BD6" w:rsidRDefault="005E3BD6" w:rsidP="005E3BD6">
            <w:pPr>
              <w:bidi w:val="0"/>
            </w:pPr>
            <w:r>
              <w:t>B.21 Replacement or addition of a secondary packaging site of a finished product</w:t>
            </w:r>
          </w:p>
        </w:tc>
        <w:tc>
          <w:tcPr>
            <w:tcW w:w="1609" w:type="dxa"/>
            <w:noWrap/>
            <w:vAlign w:val="center"/>
          </w:tcPr>
          <w:p w14:paraId="318FE705" w14:textId="77777777" w:rsidR="005E3BD6" w:rsidRDefault="005E3BD6" w:rsidP="005E3BD6">
            <w:pPr>
              <w:jc w:val="center"/>
              <w:rPr>
                <w:rFonts w:asciiTheme="majorBidi" w:hAnsiTheme="majorBidi" w:cs="David"/>
                <w:szCs w:val="24"/>
              </w:rPr>
            </w:pPr>
          </w:p>
        </w:tc>
        <w:tc>
          <w:tcPr>
            <w:tcW w:w="1609" w:type="dxa"/>
            <w:noWrap/>
            <w:vAlign w:val="center"/>
          </w:tcPr>
          <w:p w14:paraId="789E8B66"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7556BE10"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58021E56" w14:textId="77777777" w:rsidTr="005E3BD6">
        <w:trPr>
          <w:cantSplit/>
          <w:trHeight w:val="397"/>
          <w:tblHeader/>
        </w:trPr>
        <w:tc>
          <w:tcPr>
            <w:tcW w:w="4894" w:type="dxa"/>
            <w:noWrap/>
            <w:vAlign w:val="center"/>
          </w:tcPr>
          <w:p w14:paraId="26A92183" w14:textId="77777777" w:rsidR="005E3BD6" w:rsidRDefault="005E3BD6" w:rsidP="005E3BD6">
            <w:pPr>
              <w:bidi w:val="0"/>
            </w:pPr>
            <w:r>
              <w:t>B.22 Change to importer, batch control arrangements and quality testing (replacement or addition of a site) for a finished product</w:t>
            </w:r>
          </w:p>
        </w:tc>
        <w:tc>
          <w:tcPr>
            <w:tcW w:w="1609" w:type="dxa"/>
            <w:noWrap/>
            <w:vAlign w:val="center"/>
          </w:tcPr>
          <w:p w14:paraId="41776313" w14:textId="77777777" w:rsidR="005E3BD6" w:rsidRDefault="005E3BD6" w:rsidP="005E3BD6">
            <w:pPr>
              <w:jc w:val="center"/>
              <w:rPr>
                <w:rFonts w:asciiTheme="majorBidi" w:hAnsiTheme="majorBidi" w:cs="David"/>
                <w:szCs w:val="24"/>
              </w:rPr>
            </w:pPr>
          </w:p>
        </w:tc>
        <w:tc>
          <w:tcPr>
            <w:tcW w:w="1609" w:type="dxa"/>
            <w:noWrap/>
            <w:vAlign w:val="center"/>
          </w:tcPr>
          <w:p w14:paraId="1C20AA7E" w14:textId="77777777" w:rsidR="005E3BD6" w:rsidRDefault="005E3BD6" w:rsidP="005E3BD6">
            <w:pPr>
              <w:jc w:val="center"/>
              <w:rPr>
                <w:rFonts w:asciiTheme="majorBidi" w:hAnsiTheme="majorBidi" w:cs="David"/>
                <w:szCs w:val="24"/>
                <w:rtl/>
              </w:rPr>
            </w:pPr>
            <w:r>
              <w:rPr>
                <w:rFonts w:asciiTheme="majorBidi" w:hAnsiTheme="majorBidi" w:cs="David"/>
                <w:szCs w:val="24"/>
              </w:rPr>
              <w:t>X</w:t>
            </w:r>
          </w:p>
          <w:p w14:paraId="2C396E67" w14:textId="77777777" w:rsidR="005E3BD6" w:rsidRPr="009F5FE4" w:rsidRDefault="005E3BD6" w:rsidP="002C0568">
            <w:pPr>
              <w:rPr>
                <w:rFonts w:asciiTheme="majorBidi" w:hAnsiTheme="majorBidi" w:cs="David"/>
                <w:b/>
                <w:bCs/>
                <w:szCs w:val="24"/>
              </w:rPr>
            </w:pPr>
            <w:r w:rsidRPr="002C0568">
              <w:rPr>
                <w:rFonts w:asciiTheme="majorBidi" w:hAnsiTheme="majorBidi" w:cs="David" w:hint="eastAsia"/>
                <w:sz w:val="16"/>
                <w:rtl/>
              </w:rPr>
              <w:t>עבור</w:t>
            </w:r>
            <w:r w:rsidRPr="002C0568">
              <w:rPr>
                <w:rFonts w:asciiTheme="majorBidi" w:hAnsiTheme="majorBidi" w:cs="David"/>
                <w:sz w:val="16"/>
                <w:rtl/>
              </w:rPr>
              <w:t xml:space="preserve"> </w:t>
            </w:r>
            <w:r w:rsidRPr="002C0568">
              <w:rPr>
                <w:rFonts w:asciiTheme="majorBidi" w:hAnsiTheme="majorBidi" w:cs="David" w:hint="eastAsia"/>
                <w:sz w:val="16"/>
                <w:rtl/>
              </w:rPr>
              <w:t>המכון</w:t>
            </w:r>
            <w:r w:rsidRPr="002C0568">
              <w:rPr>
                <w:rFonts w:asciiTheme="majorBidi" w:hAnsiTheme="majorBidi" w:cs="David"/>
                <w:sz w:val="16"/>
                <w:rtl/>
              </w:rPr>
              <w:t xml:space="preserve"> </w:t>
            </w:r>
            <w:r w:rsidRPr="002C0568">
              <w:rPr>
                <w:rFonts w:asciiTheme="majorBidi" w:hAnsiTheme="majorBidi" w:cs="David" w:hint="eastAsia"/>
                <w:sz w:val="16"/>
                <w:rtl/>
              </w:rPr>
              <w:t>רק</w:t>
            </w:r>
            <w:r w:rsidRPr="002C0568">
              <w:rPr>
                <w:rFonts w:asciiTheme="majorBidi" w:hAnsiTheme="majorBidi" w:cs="David"/>
                <w:sz w:val="16"/>
                <w:rtl/>
              </w:rPr>
              <w:t xml:space="preserve"> </w:t>
            </w:r>
            <w:r w:rsidRPr="002C0568">
              <w:rPr>
                <w:rFonts w:asciiTheme="majorBidi" w:hAnsiTheme="majorBidi" w:cs="David" w:hint="eastAsia"/>
                <w:sz w:val="16"/>
                <w:rtl/>
              </w:rPr>
              <w:t>אתרים</w:t>
            </w:r>
            <w:r w:rsidRPr="002C0568">
              <w:rPr>
                <w:rFonts w:asciiTheme="majorBidi" w:hAnsiTheme="majorBidi" w:cs="David"/>
                <w:sz w:val="16"/>
                <w:rtl/>
              </w:rPr>
              <w:t xml:space="preserve"> </w:t>
            </w:r>
            <w:r w:rsidRPr="002C0568">
              <w:rPr>
                <w:rFonts w:asciiTheme="majorBidi" w:hAnsiTheme="majorBidi" w:cs="David" w:hint="eastAsia"/>
                <w:sz w:val="16"/>
                <w:rtl/>
              </w:rPr>
              <w:t>שאינם</w:t>
            </w:r>
            <w:r w:rsidRPr="002C0568">
              <w:rPr>
                <w:rFonts w:asciiTheme="majorBidi" w:hAnsiTheme="majorBidi" w:cs="David"/>
                <w:sz w:val="16"/>
                <w:rtl/>
              </w:rPr>
              <w:t xml:space="preserve"> </w:t>
            </w:r>
            <w:r w:rsidRPr="002C0568">
              <w:rPr>
                <w:rFonts w:asciiTheme="majorBidi" w:hAnsiTheme="majorBidi" w:cs="David" w:hint="eastAsia"/>
                <w:sz w:val="16"/>
                <w:rtl/>
              </w:rPr>
              <w:t>מופיעים</w:t>
            </w:r>
            <w:r w:rsidRPr="002C0568">
              <w:rPr>
                <w:rFonts w:asciiTheme="majorBidi" w:hAnsiTheme="majorBidi" w:cs="David"/>
                <w:sz w:val="16"/>
                <w:rtl/>
              </w:rPr>
              <w:t xml:space="preserve"> </w:t>
            </w:r>
            <w:r w:rsidRPr="002C0568">
              <w:rPr>
                <w:rFonts w:asciiTheme="majorBidi" w:hAnsiTheme="majorBidi" w:cs="David" w:hint="eastAsia"/>
                <w:sz w:val="16"/>
                <w:rtl/>
              </w:rPr>
              <w:t>בתעודת</w:t>
            </w:r>
            <w:r w:rsidRPr="002C0568">
              <w:rPr>
                <w:rFonts w:asciiTheme="majorBidi" w:hAnsiTheme="majorBidi" w:cs="David"/>
                <w:sz w:val="16"/>
                <w:rtl/>
              </w:rPr>
              <w:t xml:space="preserve"> </w:t>
            </w:r>
            <w:r w:rsidRPr="002C0568">
              <w:rPr>
                <w:rFonts w:asciiTheme="majorBidi" w:hAnsiTheme="majorBidi" w:cs="David" w:hint="eastAsia"/>
                <w:sz w:val="16"/>
                <w:rtl/>
              </w:rPr>
              <w:t>איכות</w:t>
            </w:r>
          </w:p>
        </w:tc>
        <w:tc>
          <w:tcPr>
            <w:tcW w:w="1609" w:type="dxa"/>
            <w:vAlign w:val="center"/>
          </w:tcPr>
          <w:p w14:paraId="324D3BF6"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267CCEE6" w14:textId="77777777" w:rsidTr="005E3BD6">
        <w:trPr>
          <w:cantSplit/>
          <w:trHeight w:val="397"/>
          <w:tblHeader/>
        </w:trPr>
        <w:tc>
          <w:tcPr>
            <w:tcW w:w="4894" w:type="dxa"/>
            <w:noWrap/>
            <w:vAlign w:val="center"/>
          </w:tcPr>
          <w:p w14:paraId="6452BE81" w14:textId="77777777" w:rsidR="005E3BD6" w:rsidRDefault="005E3BD6" w:rsidP="005E3BD6">
            <w:pPr>
              <w:bidi w:val="0"/>
            </w:pPr>
            <w:r>
              <w:t>B.23 Replacement or addition of a manufacturer of a finished product responsible for importation</w:t>
            </w:r>
          </w:p>
        </w:tc>
        <w:tc>
          <w:tcPr>
            <w:tcW w:w="1609" w:type="dxa"/>
            <w:noWrap/>
            <w:vAlign w:val="center"/>
          </w:tcPr>
          <w:p w14:paraId="55633EF7"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noWrap/>
            <w:vAlign w:val="center"/>
          </w:tcPr>
          <w:p w14:paraId="5B737D58" w14:textId="77777777" w:rsidR="005E3BD6" w:rsidRDefault="005E3BD6" w:rsidP="005E3BD6">
            <w:pPr>
              <w:jc w:val="center"/>
              <w:rPr>
                <w:rFonts w:asciiTheme="majorBidi" w:hAnsiTheme="majorBidi" w:cs="David"/>
                <w:szCs w:val="24"/>
              </w:rPr>
            </w:pPr>
          </w:p>
        </w:tc>
        <w:tc>
          <w:tcPr>
            <w:tcW w:w="1609" w:type="dxa"/>
            <w:vAlign w:val="center"/>
          </w:tcPr>
          <w:p w14:paraId="789C7D38"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3B3AACE0" w14:textId="77777777" w:rsidTr="005E3BD6">
        <w:trPr>
          <w:cantSplit/>
          <w:trHeight w:val="397"/>
          <w:tblHeader/>
        </w:trPr>
        <w:tc>
          <w:tcPr>
            <w:tcW w:w="4894" w:type="dxa"/>
            <w:noWrap/>
            <w:vAlign w:val="center"/>
          </w:tcPr>
          <w:p w14:paraId="1D1A0348" w14:textId="77777777" w:rsidR="005E3BD6" w:rsidRDefault="005E3BD6" w:rsidP="005E3BD6">
            <w:pPr>
              <w:bidi w:val="0"/>
            </w:pPr>
            <w:r>
              <w:t xml:space="preserve">B.24 Replacement or addition of a manufacturer responsible for: </w:t>
            </w:r>
          </w:p>
        </w:tc>
        <w:tc>
          <w:tcPr>
            <w:tcW w:w="4827" w:type="dxa"/>
            <w:gridSpan w:val="3"/>
            <w:noWrap/>
            <w:vAlign w:val="center"/>
          </w:tcPr>
          <w:p w14:paraId="09FC9DB4" w14:textId="77777777" w:rsidR="005E3BD6" w:rsidRDefault="005E3BD6" w:rsidP="005E3BD6">
            <w:pPr>
              <w:jc w:val="center"/>
              <w:rPr>
                <w:rFonts w:asciiTheme="majorBidi" w:hAnsiTheme="majorBidi" w:cs="David"/>
                <w:szCs w:val="24"/>
              </w:rPr>
            </w:pPr>
          </w:p>
        </w:tc>
      </w:tr>
      <w:tr w:rsidR="005E3BD6" w:rsidRPr="001C254B" w14:paraId="5B39FEC1" w14:textId="77777777" w:rsidTr="005E3BD6">
        <w:trPr>
          <w:cantSplit/>
          <w:trHeight w:val="397"/>
          <w:tblHeader/>
        </w:trPr>
        <w:tc>
          <w:tcPr>
            <w:tcW w:w="4894" w:type="dxa"/>
            <w:noWrap/>
            <w:vAlign w:val="center"/>
          </w:tcPr>
          <w:p w14:paraId="5506E6D7" w14:textId="77777777" w:rsidR="005E3BD6" w:rsidRDefault="005E3BD6" w:rsidP="005E3BD6">
            <w:pPr>
              <w:bidi w:val="0"/>
            </w:pPr>
            <w:r>
              <w:t xml:space="preserve">a – </w:t>
            </w:r>
            <w:r w:rsidRPr="009F5FE4">
              <w:rPr>
                <w:color w:val="333333"/>
                <w:szCs w:val="24"/>
              </w:rPr>
              <w:t>batch release including batch control or testing of a sterile or non-sterile finished product</w:t>
            </w:r>
          </w:p>
        </w:tc>
        <w:tc>
          <w:tcPr>
            <w:tcW w:w="1609" w:type="dxa"/>
            <w:noWrap/>
            <w:vAlign w:val="center"/>
          </w:tcPr>
          <w:p w14:paraId="04D29B4E" w14:textId="77777777" w:rsidR="005E3BD6" w:rsidRDefault="005E3BD6" w:rsidP="005E3BD6">
            <w:pPr>
              <w:jc w:val="center"/>
              <w:rPr>
                <w:rFonts w:asciiTheme="majorBidi" w:hAnsiTheme="majorBidi" w:cs="David"/>
                <w:szCs w:val="24"/>
              </w:rPr>
            </w:pPr>
          </w:p>
        </w:tc>
        <w:tc>
          <w:tcPr>
            <w:tcW w:w="1609" w:type="dxa"/>
            <w:noWrap/>
            <w:vAlign w:val="center"/>
          </w:tcPr>
          <w:p w14:paraId="1E9CA09B"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79CA26A8"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3D5992E5" w14:textId="77777777" w:rsidTr="005E3BD6">
        <w:trPr>
          <w:cantSplit/>
          <w:trHeight w:val="397"/>
          <w:tblHeader/>
        </w:trPr>
        <w:tc>
          <w:tcPr>
            <w:tcW w:w="4894" w:type="dxa"/>
            <w:noWrap/>
            <w:vAlign w:val="center"/>
          </w:tcPr>
          <w:p w14:paraId="5AEF188A" w14:textId="77777777" w:rsidR="005E3BD6" w:rsidRDefault="005E3BD6" w:rsidP="005E3BD6">
            <w:pPr>
              <w:bidi w:val="0"/>
            </w:pPr>
            <w:r>
              <w:t xml:space="preserve">b – </w:t>
            </w:r>
            <w:r w:rsidRPr="009F5FE4">
              <w:rPr>
                <w:color w:val="333333"/>
                <w:szCs w:val="25"/>
                <w:shd w:val="clear" w:color="auto" w:fill="FFFFFF"/>
              </w:rPr>
              <w:t>batch release not including batch control or testing of a sterile or non-sterile finished product</w:t>
            </w:r>
          </w:p>
        </w:tc>
        <w:tc>
          <w:tcPr>
            <w:tcW w:w="1609" w:type="dxa"/>
            <w:noWrap/>
            <w:vAlign w:val="center"/>
          </w:tcPr>
          <w:p w14:paraId="218D4B97" w14:textId="77777777" w:rsidR="005E3BD6" w:rsidRDefault="005E3BD6" w:rsidP="005E3BD6">
            <w:pPr>
              <w:jc w:val="center"/>
              <w:rPr>
                <w:rFonts w:asciiTheme="majorBidi" w:hAnsiTheme="majorBidi" w:cs="David"/>
                <w:szCs w:val="24"/>
              </w:rPr>
            </w:pPr>
          </w:p>
        </w:tc>
        <w:tc>
          <w:tcPr>
            <w:tcW w:w="1609" w:type="dxa"/>
            <w:noWrap/>
            <w:vAlign w:val="center"/>
          </w:tcPr>
          <w:p w14:paraId="44999115" w14:textId="77777777" w:rsidR="005E3BD6" w:rsidRDefault="005E3BD6" w:rsidP="005E3BD6">
            <w:pPr>
              <w:jc w:val="center"/>
              <w:rPr>
                <w:rFonts w:asciiTheme="majorBidi" w:hAnsiTheme="majorBidi" w:cs="David"/>
                <w:szCs w:val="24"/>
                <w:rtl/>
              </w:rPr>
            </w:pPr>
            <w:r>
              <w:rPr>
                <w:rFonts w:asciiTheme="majorBidi" w:hAnsiTheme="majorBidi" w:cs="David"/>
                <w:szCs w:val="24"/>
              </w:rPr>
              <w:t>X</w:t>
            </w:r>
          </w:p>
        </w:tc>
        <w:tc>
          <w:tcPr>
            <w:tcW w:w="1609" w:type="dxa"/>
            <w:vAlign w:val="center"/>
          </w:tcPr>
          <w:p w14:paraId="525FB96E"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5AAA3AAF" w14:textId="77777777" w:rsidTr="005E3BD6">
        <w:trPr>
          <w:cantSplit/>
          <w:trHeight w:val="397"/>
          <w:tblHeader/>
        </w:trPr>
        <w:tc>
          <w:tcPr>
            <w:tcW w:w="4894" w:type="dxa"/>
            <w:noWrap/>
            <w:vAlign w:val="center"/>
          </w:tcPr>
          <w:p w14:paraId="30651E2E" w14:textId="77777777" w:rsidR="005E3BD6" w:rsidRDefault="005E3BD6" w:rsidP="005E3BD6">
            <w:pPr>
              <w:bidi w:val="0"/>
            </w:pPr>
            <w:r>
              <w:t>B.37 Change in shape or dimensions of the container or closure (immediate packaging) of a non-sterile finished product</w:t>
            </w:r>
          </w:p>
        </w:tc>
        <w:tc>
          <w:tcPr>
            <w:tcW w:w="1609" w:type="dxa"/>
            <w:noWrap/>
            <w:vAlign w:val="center"/>
          </w:tcPr>
          <w:p w14:paraId="32438D06" w14:textId="77777777" w:rsidR="005E3BD6" w:rsidRDefault="005E3BD6" w:rsidP="005E3BD6">
            <w:pPr>
              <w:jc w:val="center"/>
              <w:rPr>
                <w:rFonts w:asciiTheme="majorBidi" w:hAnsiTheme="majorBidi" w:cs="David"/>
                <w:szCs w:val="24"/>
              </w:rPr>
            </w:pPr>
          </w:p>
        </w:tc>
        <w:tc>
          <w:tcPr>
            <w:tcW w:w="1609" w:type="dxa"/>
            <w:noWrap/>
            <w:vAlign w:val="center"/>
          </w:tcPr>
          <w:p w14:paraId="6485EF80"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0141F6EB"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7C1B4BAD" w14:textId="77777777" w:rsidTr="005E3BD6">
        <w:trPr>
          <w:cantSplit/>
          <w:trHeight w:val="397"/>
          <w:tblHeader/>
        </w:trPr>
        <w:tc>
          <w:tcPr>
            <w:tcW w:w="4894" w:type="dxa"/>
            <w:noWrap/>
            <w:vAlign w:val="center"/>
          </w:tcPr>
          <w:p w14:paraId="4F9A36F2" w14:textId="77777777" w:rsidR="005E3BD6" w:rsidRDefault="005E3BD6" w:rsidP="005E3BD6">
            <w:pPr>
              <w:bidi w:val="0"/>
            </w:pPr>
            <w:r>
              <w:t xml:space="preserve">B.38 Change in pack size (number of units </w:t>
            </w:r>
            <w:proofErr w:type="gramStart"/>
            <w:r>
              <w:t>e.g.</w:t>
            </w:r>
            <w:proofErr w:type="gramEnd"/>
            <w:r>
              <w:t xml:space="preserve"> tablets, ampoules, etc. in a pack) within the range of the currently approved pack size</w:t>
            </w:r>
          </w:p>
        </w:tc>
        <w:tc>
          <w:tcPr>
            <w:tcW w:w="1609" w:type="dxa"/>
            <w:noWrap/>
            <w:vAlign w:val="center"/>
          </w:tcPr>
          <w:p w14:paraId="6A3AD261"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noWrap/>
            <w:vAlign w:val="center"/>
          </w:tcPr>
          <w:p w14:paraId="6DA5C5BA" w14:textId="77777777" w:rsidR="005E3BD6" w:rsidRDefault="005E3BD6" w:rsidP="005E3BD6">
            <w:pPr>
              <w:jc w:val="center"/>
              <w:rPr>
                <w:rFonts w:asciiTheme="majorBidi" w:hAnsiTheme="majorBidi" w:cs="David"/>
                <w:szCs w:val="24"/>
              </w:rPr>
            </w:pPr>
          </w:p>
        </w:tc>
        <w:tc>
          <w:tcPr>
            <w:tcW w:w="1609" w:type="dxa"/>
            <w:vAlign w:val="center"/>
          </w:tcPr>
          <w:p w14:paraId="0B9F5F65"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7D14AB0E" w14:textId="77777777" w:rsidTr="005E3BD6">
        <w:trPr>
          <w:cantSplit/>
          <w:trHeight w:val="397"/>
          <w:tblHeader/>
        </w:trPr>
        <w:tc>
          <w:tcPr>
            <w:tcW w:w="4894" w:type="dxa"/>
            <w:noWrap/>
            <w:vAlign w:val="center"/>
          </w:tcPr>
          <w:p w14:paraId="3E332F92" w14:textId="77777777" w:rsidR="005E3BD6" w:rsidRDefault="005E3BD6" w:rsidP="005E3BD6">
            <w:pPr>
              <w:bidi w:val="0"/>
            </w:pPr>
            <w:r>
              <w:t xml:space="preserve">B.39 Change in any part of the primary packaging material not in contact with the finished product formulation (such as change of </w:t>
            </w:r>
            <w:proofErr w:type="spellStart"/>
            <w:r>
              <w:t>colour</w:t>
            </w:r>
            <w:proofErr w:type="spellEnd"/>
            <w:r>
              <w:t xml:space="preserve"> due to different plastic used for flip-off caps, </w:t>
            </w:r>
            <w:proofErr w:type="spellStart"/>
            <w:r>
              <w:t>colour</w:t>
            </w:r>
            <w:proofErr w:type="spellEnd"/>
            <w:r>
              <w:t xml:space="preserve"> code rings on ampoules or change of needle shield)</w:t>
            </w:r>
          </w:p>
        </w:tc>
        <w:tc>
          <w:tcPr>
            <w:tcW w:w="1609" w:type="dxa"/>
            <w:noWrap/>
            <w:vAlign w:val="center"/>
          </w:tcPr>
          <w:p w14:paraId="4CB4DA77" w14:textId="77777777" w:rsidR="005E3BD6" w:rsidRDefault="005E3BD6" w:rsidP="005E3BD6">
            <w:pPr>
              <w:jc w:val="center"/>
              <w:rPr>
                <w:rFonts w:asciiTheme="majorBidi" w:hAnsiTheme="majorBidi" w:cs="David"/>
                <w:szCs w:val="24"/>
              </w:rPr>
            </w:pPr>
          </w:p>
        </w:tc>
        <w:tc>
          <w:tcPr>
            <w:tcW w:w="1609" w:type="dxa"/>
            <w:noWrap/>
            <w:vAlign w:val="center"/>
          </w:tcPr>
          <w:p w14:paraId="512DECAF"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69DDCD2A"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65EE7AC6" w14:textId="77777777" w:rsidTr="005E3BD6">
        <w:trPr>
          <w:cantSplit/>
          <w:trHeight w:val="397"/>
          <w:tblHeader/>
        </w:trPr>
        <w:tc>
          <w:tcPr>
            <w:tcW w:w="4894" w:type="dxa"/>
            <w:noWrap/>
            <w:vAlign w:val="center"/>
          </w:tcPr>
          <w:p w14:paraId="1CF34062" w14:textId="77777777" w:rsidR="005E3BD6" w:rsidRDefault="005E3BD6" w:rsidP="005E3BD6">
            <w:pPr>
              <w:bidi w:val="0"/>
            </w:pPr>
            <w:r>
              <w:t>B.40 Replacement or addition of a supplier of packaging components or devices (when mentioned in the dossier)</w:t>
            </w:r>
          </w:p>
        </w:tc>
        <w:tc>
          <w:tcPr>
            <w:tcW w:w="1609" w:type="dxa"/>
            <w:noWrap/>
            <w:vAlign w:val="center"/>
          </w:tcPr>
          <w:p w14:paraId="3AF9B2AA" w14:textId="77777777" w:rsidR="005E3BD6" w:rsidRDefault="005E3BD6" w:rsidP="005E3BD6">
            <w:pPr>
              <w:jc w:val="center"/>
              <w:rPr>
                <w:rFonts w:asciiTheme="majorBidi" w:hAnsiTheme="majorBidi" w:cs="David"/>
                <w:szCs w:val="24"/>
              </w:rPr>
            </w:pPr>
          </w:p>
        </w:tc>
        <w:tc>
          <w:tcPr>
            <w:tcW w:w="1609" w:type="dxa"/>
            <w:noWrap/>
            <w:vAlign w:val="center"/>
          </w:tcPr>
          <w:p w14:paraId="1847ED0A" w14:textId="77777777" w:rsidR="005E3BD6" w:rsidRDefault="005E3BD6" w:rsidP="005E3BD6">
            <w:pPr>
              <w:jc w:val="center"/>
              <w:rPr>
                <w:rFonts w:asciiTheme="majorBidi" w:hAnsiTheme="majorBidi" w:cs="David"/>
                <w:szCs w:val="24"/>
                <w:rtl/>
              </w:rPr>
            </w:pPr>
            <w:r>
              <w:rPr>
                <w:rFonts w:asciiTheme="majorBidi" w:hAnsiTheme="majorBidi" w:cs="David" w:hint="cs"/>
                <w:szCs w:val="24"/>
              </w:rPr>
              <w:t>X</w:t>
            </w:r>
          </w:p>
          <w:p w14:paraId="1A5D64D6" w14:textId="77777777" w:rsidR="005E3BD6" w:rsidRPr="002C0568" w:rsidRDefault="005E3BD6" w:rsidP="002C0568">
            <w:pPr>
              <w:rPr>
                <w:rFonts w:asciiTheme="majorBidi" w:hAnsiTheme="majorBidi" w:cs="David"/>
                <w:b/>
                <w:bCs/>
                <w:rtl/>
              </w:rPr>
            </w:pPr>
            <w:r w:rsidRPr="002C0568">
              <w:rPr>
                <w:rFonts w:asciiTheme="majorBidi" w:hAnsiTheme="majorBidi" w:cs="David" w:hint="eastAsia"/>
                <w:rtl/>
              </w:rPr>
              <w:t>במקרה</w:t>
            </w:r>
            <w:r w:rsidRPr="002C0568">
              <w:rPr>
                <w:rFonts w:asciiTheme="majorBidi" w:hAnsiTheme="majorBidi" w:cs="David"/>
                <w:rtl/>
              </w:rPr>
              <w:t xml:space="preserve"> של </w:t>
            </w:r>
            <w:r w:rsidRPr="002C0568">
              <w:rPr>
                <w:rFonts w:asciiTheme="majorBidi" w:hAnsiTheme="majorBidi" w:cs="David"/>
              </w:rPr>
              <w:t>device</w:t>
            </w:r>
            <w:r w:rsidRPr="002C0568">
              <w:rPr>
                <w:rFonts w:asciiTheme="majorBidi" w:hAnsiTheme="majorBidi" w:cs="David"/>
                <w:rtl/>
              </w:rPr>
              <w:t xml:space="preserve"> אין צורך בדיווח למכון</w:t>
            </w:r>
          </w:p>
        </w:tc>
        <w:tc>
          <w:tcPr>
            <w:tcW w:w="1609" w:type="dxa"/>
            <w:vAlign w:val="center"/>
          </w:tcPr>
          <w:p w14:paraId="0BF2352B"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747A3A0D" w14:textId="77777777" w:rsidTr="005E3BD6">
        <w:trPr>
          <w:cantSplit/>
          <w:trHeight w:val="397"/>
          <w:tblHeader/>
        </w:trPr>
        <w:tc>
          <w:tcPr>
            <w:tcW w:w="4894" w:type="dxa"/>
            <w:noWrap/>
            <w:vAlign w:val="center"/>
          </w:tcPr>
          <w:p w14:paraId="08E8FB10" w14:textId="77777777" w:rsidR="005E3BD6" w:rsidRDefault="005E3BD6" w:rsidP="005E3BD6">
            <w:pPr>
              <w:bidi w:val="0"/>
            </w:pPr>
            <w:r>
              <w:t>B.41 Change in the shelf-life or to an approved stability protocol of the finished product:</w:t>
            </w:r>
          </w:p>
        </w:tc>
        <w:tc>
          <w:tcPr>
            <w:tcW w:w="4827" w:type="dxa"/>
            <w:gridSpan w:val="3"/>
            <w:noWrap/>
            <w:vAlign w:val="center"/>
          </w:tcPr>
          <w:p w14:paraId="6CF45553" w14:textId="77777777" w:rsidR="005E3BD6" w:rsidRDefault="005E3BD6" w:rsidP="005E3BD6">
            <w:pPr>
              <w:jc w:val="center"/>
              <w:rPr>
                <w:rFonts w:asciiTheme="majorBidi" w:hAnsiTheme="majorBidi" w:cs="David"/>
                <w:szCs w:val="24"/>
              </w:rPr>
            </w:pPr>
          </w:p>
        </w:tc>
      </w:tr>
      <w:tr w:rsidR="005E3BD6" w:rsidRPr="001C254B" w14:paraId="7C43229F" w14:textId="77777777" w:rsidTr="005E3BD6">
        <w:trPr>
          <w:cantSplit/>
          <w:trHeight w:val="397"/>
          <w:tblHeader/>
        </w:trPr>
        <w:tc>
          <w:tcPr>
            <w:tcW w:w="4894" w:type="dxa"/>
            <w:noWrap/>
            <w:vAlign w:val="center"/>
          </w:tcPr>
          <w:p w14:paraId="1011E9F4" w14:textId="77777777" w:rsidR="005E3BD6" w:rsidRDefault="005E3BD6" w:rsidP="005E3BD6">
            <w:pPr>
              <w:bidi w:val="0"/>
            </w:pPr>
            <w:r>
              <w:t>a — reduction of the shelf life of the finished product as packaged for sale, after first opening or after dilution or reconstitution</w:t>
            </w:r>
          </w:p>
        </w:tc>
        <w:tc>
          <w:tcPr>
            <w:tcW w:w="1609" w:type="dxa"/>
            <w:noWrap/>
            <w:vAlign w:val="center"/>
          </w:tcPr>
          <w:p w14:paraId="1A48F868" w14:textId="77777777" w:rsidR="005E3BD6" w:rsidRDefault="005E3BD6" w:rsidP="005E3BD6">
            <w:pPr>
              <w:jc w:val="center"/>
              <w:rPr>
                <w:rFonts w:asciiTheme="majorBidi" w:hAnsiTheme="majorBidi" w:cs="David"/>
                <w:szCs w:val="24"/>
              </w:rPr>
            </w:pPr>
          </w:p>
        </w:tc>
        <w:tc>
          <w:tcPr>
            <w:tcW w:w="1609" w:type="dxa"/>
            <w:noWrap/>
            <w:vAlign w:val="center"/>
          </w:tcPr>
          <w:p w14:paraId="7C6E5B2F"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30AD1D20"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5A77D1B2" w14:textId="77777777" w:rsidTr="005E3BD6">
        <w:trPr>
          <w:cantSplit/>
          <w:trHeight w:val="397"/>
          <w:tblHeader/>
        </w:trPr>
        <w:tc>
          <w:tcPr>
            <w:tcW w:w="4894" w:type="dxa"/>
            <w:noWrap/>
            <w:vAlign w:val="center"/>
          </w:tcPr>
          <w:p w14:paraId="36943156" w14:textId="77777777" w:rsidR="005E3BD6" w:rsidRDefault="005E3BD6" w:rsidP="005E3BD6">
            <w:pPr>
              <w:bidi w:val="0"/>
            </w:pPr>
            <w:r>
              <w:lastRenderedPageBreak/>
              <w:t>B.48 Addition or replacement of a measuring or administration device which is not an integrated part of the primary packaging</w:t>
            </w:r>
          </w:p>
        </w:tc>
        <w:tc>
          <w:tcPr>
            <w:tcW w:w="1609" w:type="dxa"/>
            <w:noWrap/>
            <w:vAlign w:val="center"/>
          </w:tcPr>
          <w:p w14:paraId="6E358895"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noWrap/>
            <w:vAlign w:val="center"/>
          </w:tcPr>
          <w:p w14:paraId="16C59BE4" w14:textId="77777777" w:rsidR="005E3BD6" w:rsidRDefault="005E3BD6" w:rsidP="005E3BD6">
            <w:pPr>
              <w:jc w:val="center"/>
              <w:rPr>
                <w:rFonts w:asciiTheme="majorBidi" w:hAnsiTheme="majorBidi" w:cs="David"/>
                <w:szCs w:val="24"/>
              </w:rPr>
            </w:pPr>
          </w:p>
        </w:tc>
        <w:tc>
          <w:tcPr>
            <w:tcW w:w="1609" w:type="dxa"/>
            <w:vAlign w:val="center"/>
          </w:tcPr>
          <w:p w14:paraId="35FA32B3" w14:textId="77777777" w:rsidR="005E3BD6" w:rsidRDefault="005E3BD6" w:rsidP="005E3BD6">
            <w:pPr>
              <w:jc w:val="center"/>
              <w:rPr>
                <w:rFonts w:asciiTheme="majorBidi" w:hAnsiTheme="majorBidi" w:cs="David"/>
                <w:szCs w:val="24"/>
              </w:rPr>
            </w:pPr>
            <w:r>
              <w:rPr>
                <w:rFonts w:asciiTheme="majorBidi" w:hAnsiTheme="majorBidi" w:cs="David"/>
                <w:szCs w:val="24"/>
              </w:rPr>
              <w:t>VNRA</w:t>
            </w:r>
          </w:p>
        </w:tc>
      </w:tr>
      <w:tr w:rsidR="005E3BD6" w:rsidRPr="001C254B" w14:paraId="3CD99945" w14:textId="77777777" w:rsidTr="005E3BD6">
        <w:trPr>
          <w:cantSplit/>
          <w:trHeight w:val="397"/>
          <w:tblHeader/>
        </w:trPr>
        <w:tc>
          <w:tcPr>
            <w:tcW w:w="4894" w:type="dxa"/>
            <w:noWrap/>
            <w:vAlign w:val="center"/>
          </w:tcPr>
          <w:p w14:paraId="41B47D3E" w14:textId="77777777" w:rsidR="005E3BD6" w:rsidRDefault="005E3BD6" w:rsidP="005E3BD6">
            <w:pPr>
              <w:bidi w:val="0"/>
            </w:pPr>
            <w:r>
              <w:t>F.I.a.1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w:t>
            </w:r>
          </w:p>
        </w:tc>
        <w:tc>
          <w:tcPr>
            <w:tcW w:w="1609" w:type="dxa"/>
            <w:noWrap/>
            <w:vAlign w:val="center"/>
          </w:tcPr>
          <w:p w14:paraId="44359CB9" w14:textId="77777777" w:rsidR="005E3BD6" w:rsidRDefault="005E3BD6" w:rsidP="005E3BD6">
            <w:pPr>
              <w:jc w:val="center"/>
              <w:rPr>
                <w:rFonts w:asciiTheme="majorBidi" w:hAnsiTheme="majorBidi" w:cs="David"/>
                <w:szCs w:val="24"/>
              </w:rPr>
            </w:pPr>
          </w:p>
        </w:tc>
        <w:tc>
          <w:tcPr>
            <w:tcW w:w="1609" w:type="dxa"/>
            <w:noWrap/>
            <w:vAlign w:val="center"/>
          </w:tcPr>
          <w:p w14:paraId="57CA3FF2"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p w14:paraId="0503FF7C" w14:textId="77777777" w:rsidR="005E3BD6" w:rsidRDefault="005E3BD6" w:rsidP="002C0568">
            <w:pPr>
              <w:rPr>
                <w:rFonts w:asciiTheme="majorBidi" w:hAnsiTheme="majorBidi" w:cs="David"/>
                <w:szCs w:val="24"/>
              </w:rPr>
            </w:pPr>
            <w:r w:rsidRPr="001C254B">
              <w:rPr>
                <w:rFonts w:asciiTheme="majorBidi" w:hAnsiTheme="majorBidi" w:cs="David"/>
                <w:rtl/>
              </w:rPr>
              <w:t>לתכשירים כימיים אישור המכון בלבד ולתכשירים ביולוגיים אישור המכון ומחלקת רישום</w:t>
            </w:r>
          </w:p>
        </w:tc>
        <w:tc>
          <w:tcPr>
            <w:tcW w:w="1609" w:type="dxa"/>
            <w:vAlign w:val="center"/>
          </w:tcPr>
          <w:p w14:paraId="056CDFFD"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5067C8D7" w14:textId="77777777" w:rsidTr="005E3BD6">
        <w:trPr>
          <w:cantSplit/>
          <w:trHeight w:val="397"/>
          <w:tblHeader/>
        </w:trPr>
        <w:tc>
          <w:tcPr>
            <w:tcW w:w="4894" w:type="dxa"/>
            <w:noWrap/>
            <w:vAlign w:val="center"/>
          </w:tcPr>
          <w:p w14:paraId="02D9B3ED" w14:textId="77777777" w:rsidR="005E3BD6" w:rsidRDefault="005E3BD6" w:rsidP="005E3BD6">
            <w:pPr>
              <w:bidi w:val="0"/>
            </w:pPr>
            <w:r>
              <w:t>F.II.a.1 Change or addition of imprints, bossing or other markings including replacement, or addition of inks used for product marking.</w:t>
            </w:r>
          </w:p>
        </w:tc>
        <w:tc>
          <w:tcPr>
            <w:tcW w:w="1609" w:type="dxa"/>
            <w:noWrap/>
            <w:vAlign w:val="center"/>
          </w:tcPr>
          <w:p w14:paraId="74D845FD" w14:textId="77777777" w:rsidR="005E3BD6" w:rsidRDefault="005E3BD6" w:rsidP="005E3BD6">
            <w:pPr>
              <w:jc w:val="center"/>
              <w:rPr>
                <w:rFonts w:asciiTheme="majorBidi" w:hAnsiTheme="majorBidi" w:cs="David"/>
                <w:szCs w:val="24"/>
              </w:rPr>
            </w:pPr>
          </w:p>
        </w:tc>
        <w:tc>
          <w:tcPr>
            <w:tcW w:w="1609" w:type="dxa"/>
            <w:noWrap/>
            <w:vAlign w:val="center"/>
          </w:tcPr>
          <w:p w14:paraId="2801F246"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6DB83F78"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00022305" w14:textId="77777777" w:rsidTr="005E3BD6">
        <w:trPr>
          <w:cantSplit/>
          <w:trHeight w:val="397"/>
          <w:tblHeader/>
        </w:trPr>
        <w:tc>
          <w:tcPr>
            <w:tcW w:w="4894" w:type="dxa"/>
            <w:noWrap/>
            <w:vAlign w:val="center"/>
          </w:tcPr>
          <w:p w14:paraId="3890CFD3" w14:textId="77777777" w:rsidR="005E3BD6" w:rsidRDefault="005E3BD6" w:rsidP="005E3BD6">
            <w:pPr>
              <w:bidi w:val="0"/>
            </w:pPr>
            <w:r>
              <w:t>F.II.a.2 Change in the shape or dimensions of the pharmaceutical form</w:t>
            </w:r>
          </w:p>
        </w:tc>
        <w:tc>
          <w:tcPr>
            <w:tcW w:w="1609" w:type="dxa"/>
            <w:noWrap/>
            <w:vAlign w:val="center"/>
          </w:tcPr>
          <w:p w14:paraId="2681A4D3" w14:textId="77777777" w:rsidR="005E3BD6" w:rsidRDefault="005E3BD6" w:rsidP="005E3BD6">
            <w:pPr>
              <w:jc w:val="center"/>
              <w:rPr>
                <w:rFonts w:asciiTheme="majorBidi" w:hAnsiTheme="majorBidi" w:cs="David"/>
                <w:szCs w:val="24"/>
              </w:rPr>
            </w:pPr>
          </w:p>
        </w:tc>
        <w:tc>
          <w:tcPr>
            <w:tcW w:w="1609" w:type="dxa"/>
            <w:noWrap/>
            <w:vAlign w:val="center"/>
          </w:tcPr>
          <w:p w14:paraId="569CFDF4"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5FC76888"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27AE9070" w14:textId="77777777" w:rsidTr="005E3BD6">
        <w:trPr>
          <w:cantSplit/>
          <w:trHeight w:val="397"/>
          <w:tblHeader/>
        </w:trPr>
        <w:tc>
          <w:tcPr>
            <w:tcW w:w="4894" w:type="dxa"/>
            <w:noWrap/>
            <w:vAlign w:val="center"/>
          </w:tcPr>
          <w:p w14:paraId="6D0622B9" w14:textId="77777777" w:rsidR="005E3BD6" w:rsidRDefault="005E3BD6" w:rsidP="005E3BD6">
            <w:pPr>
              <w:bidi w:val="0"/>
            </w:pPr>
            <w:r>
              <w:t>F.II.a.3 Changes in the composition (excipients) of the finished product</w:t>
            </w:r>
          </w:p>
        </w:tc>
        <w:tc>
          <w:tcPr>
            <w:tcW w:w="1609" w:type="dxa"/>
            <w:noWrap/>
            <w:vAlign w:val="center"/>
          </w:tcPr>
          <w:p w14:paraId="1F6EFDFC" w14:textId="77777777" w:rsidR="005E3BD6" w:rsidRDefault="005E3BD6" w:rsidP="005E3BD6">
            <w:pPr>
              <w:jc w:val="center"/>
              <w:rPr>
                <w:rFonts w:asciiTheme="majorBidi" w:hAnsiTheme="majorBidi" w:cs="David"/>
                <w:szCs w:val="24"/>
              </w:rPr>
            </w:pPr>
          </w:p>
        </w:tc>
        <w:tc>
          <w:tcPr>
            <w:tcW w:w="1609" w:type="dxa"/>
            <w:noWrap/>
            <w:vAlign w:val="center"/>
          </w:tcPr>
          <w:p w14:paraId="001267AB"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5D1FCAA9"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0CF25541" w14:textId="77777777" w:rsidTr="005E3BD6">
        <w:trPr>
          <w:cantSplit/>
          <w:trHeight w:val="397"/>
          <w:tblHeader/>
        </w:trPr>
        <w:tc>
          <w:tcPr>
            <w:tcW w:w="4894" w:type="dxa"/>
            <w:noWrap/>
            <w:vAlign w:val="center"/>
          </w:tcPr>
          <w:p w14:paraId="6EE7CE09" w14:textId="77777777" w:rsidR="005E3BD6" w:rsidRDefault="005E3BD6" w:rsidP="005E3BD6">
            <w:pPr>
              <w:bidi w:val="0"/>
            </w:pPr>
            <w:r>
              <w:t>F.II.a.4 Change in coating weight of oral dosage forms or change in weight of capsule shells</w:t>
            </w:r>
          </w:p>
        </w:tc>
        <w:tc>
          <w:tcPr>
            <w:tcW w:w="1609" w:type="dxa"/>
            <w:noWrap/>
            <w:vAlign w:val="center"/>
          </w:tcPr>
          <w:p w14:paraId="4DD815B2" w14:textId="77777777" w:rsidR="005E3BD6" w:rsidRDefault="005E3BD6" w:rsidP="005E3BD6">
            <w:pPr>
              <w:jc w:val="center"/>
              <w:rPr>
                <w:rFonts w:asciiTheme="majorBidi" w:hAnsiTheme="majorBidi" w:cs="David"/>
                <w:szCs w:val="24"/>
              </w:rPr>
            </w:pPr>
          </w:p>
        </w:tc>
        <w:tc>
          <w:tcPr>
            <w:tcW w:w="1609" w:type="dxa"/>
            <w:noWrap/>
            <w:vAlign w:val="center"/>
          </w:tcPr>
          <w:p w14:paraId="75C53330"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2949BD5D"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12271FE2" w14:textId="77777777" w:rsidTr="005E3BD6">
        <w:trPr>
          <w:cantSplit/>
          <w:trHeight w:val="397"/>
          <w:tblHeader/>
        </w:trPr>
        <w:tc>
          <w:tcPr>
            <w:tcW w:w="4894" w:type="dxa"/>
            <w:noWrap/>
            <w:vAlign w:val="center"/>
          </w:tcPr>
          <w:p w14:paraId="47BD687E" w14:textId="77777777" w:rsidR="005E3BD6" w:rsidRDefault="005E3BD6" w:rsidP="005E3BD6">
            <w:pPr>
              <w:bidi w:val="0"/>
            </w:pPr>
            <w:r>
              <w:t>F.II.a.5 Change in concentration of a single-dose, total use parenteral product, where the amount of active substance per unit dose (</w:t>
            </w:r>
            <w:proofErr w:type="gramStart"/>
            <w:r>
              <w:t>i.e.</w:t>
            </w:r>
            <w:proofErr w:type="gramEnd"/>
            <w:r>
              <w:t xml:space="preserve"> the strength) remains the same</w:t>
            </w:r>
          </w:p>
        </w:tc>
        <w:tc>
          <w:tcPr>
            <w:tcW w:w="1609" w:type="dxa"/>
            <w:noWrap/>
            <w:vAlign w:val="center"/>
          </w:tcPr>
          <w:p w14:paraId="485E875C" w14:textId="77777777" w:rsidR="005E3BD6" w:rsidRDefault="005E3BD6" w:rsidP="005E3BD6">
            <w:pPr>
              <w:jc w:val="center"/>
              <w:rPr>
                <w:rFonts w:asciiTheme="majorBidi" w:hAnsiTheme="majorBidi" w:cs="David"/>
                <w:szCs w:val="24"/>
              </w:rPr>
            </w:pPr>
          </w:p>
        </w:tc>
        <w:tc>
          <w:tcPr>
            <w:tcW w:w="1609" w:type="dxa"/>
            <w:noWrap/>
            <w:vAlign w:val="center"/>
          </w:tcPr>
          <w:p w14:paraId="6D7BA93D"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vAlign w:val="center"/>
          </w:tcPr>
          <w:p w14:paraId="3C187AAD"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031A9F43" w14:textId="77777777" w:rsidTr="005E3BD6">
        <w:trPr>
          <w:cantSplit/>
          <w:trHeight w:val="397"/>
          <w:tblHeader/>
        </w:trPr>
        <w:tc>
          <w:tcPr>
            <w:tcW w:w="4894" w:type="dxa"/>
            <w:noWrap/>
            <w:vAlign w:val="center"/>
          </w:tcPr>
          <w:p w14:paraId="01FEDD33" w14:textId="77777777" w:rsidR="005E3BD6" w:rsidRDefault="005E3BD6" w:rsidP="005E3BD6">
            <w:pPr>
              <w:bidi w:val="0"/>
            </w:pPr>
            <w:r>
              <w:t>F.II.a.6 Change in concentration of a biological/ immunological multi-dose, parenteral product, where the amount of active substance per unit dose (</w:t>
            </w:r>
            <w:proofErr w:type="gramStart"/>
            <w:r>
              <w:t>i.e.</w:t>
            </w:r>
            <w:proofErr w:type="gramEnd"/>
            <w:r>
              <w:t xml:space="preserve"> the strength) remains the same.</w:t>
            </w:r>
          </w:p>
        </w:tc>
        <w:tc>
          <w:tcPr>
            <w:tcW w:w="1609" w:type="dxa"/>
            <w:noWrap/>
            <w:vAlign w:val="center"/>
          </w:tcPr>
          <w:p w14:paraId="29789491" w14:textId="77777777" w:rsidR="005E3BD6" w:rsidRDefault="005E3BD6" w:rsidP="005E3BD6">
            <w:pPr>
              <w:jc w:val="center"/>
              <w:rPr>
                <w:rFonts w:asciiTheme="majorBidi" w:hAnsiTheme="majorBidi" w:cs="David"/>
                <w:szCs w:val="24"/>
              </w:rPr>
            </w:pPr>
          </w:p>
        </w:tc>
        <w:tc>
          <w:tcPr>
            <w:tcW w:w="1609" w:type="dxa"/>
            <w:noWrap/>
            <w:vAlign w:val="center"/>
          </w:tcPr>
          <w:p w14:paraId="11E84A82"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vAlign w:val="center"/>
          </w:tcPr>
          <w:p w14:paraId="177F20D1"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6F304777" w14:textId="77777777" w:rsidTr="005E3BD6">
        <w:trPr>
          <w:cantSplit/>
          <w:trHeight w:val="397"/>
          <w:tblHeader/>
        </w:trPr>
        <w:tc>
          <w:tcPr>
            <w:tcW w:w="4894" w:type="dxa"/>
            <w:noWrap/>
            <w:vAlign w:val="center"/>
          </w:tcPr>
          <w:p w14:paraId="2F5C7CB2" w14:textId="77777777" w:rsidR="005E3BD6" w:rsidRDefault="005E3BD6" w:rsidP="005E3BD6">
            <w:pPr>
              <w:bidi w:val="0"/>
            </w:pPr>
            <w:r>
              <w:t>F.II.b.1 Replacement or addition of a manufacturing site for part or all of the manufacturing process of the finished product</w:t>
            </w:r>
          </w:p>
        </w:tc>
        <w:tc>
          <w:tcPr>
            <w:tcW w:w="1609" w:type="dxa"/>
            <w:noWrap/>
            <w:vAlign w:val="center"/>
          </w:tcPr>
          <w:p w14:paraId="0A288AB7" w14:textId="77777777" w:rsidR="005E3BD6" w:rsidRDefault="005E3BD6" w:rsidP="005E3BD6">
            <w:pPr>
              <w:jc w:val="center"/>
              <w:rPr>
                <w:rFonts w:asciiTheme="majorBidi" w:hAnsiTheme="majorBidi" w:cs="David"/>
                <w:szCs w:val="24"/>
              </w:rPr>
            </w:pPr>
          </w:p>
        </w:tc>
        <w:tc>
          <w:tcPr>
            <w:tcW w:w="1609" w:type="dxa"/>
            <w:noWrap/>
            <w:vAlign w:val="center"/>
          </w:tcPr>
          <w:p w14:paraId="505E54FD"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r>
              <w:rPr>
                <w:rFonts w:asciiTheme="majorBidi" w:hAnsiTheme="majorBidi" w:cs="David"/>
                <w:szCs w:val="24"/>
              </w:rPr>
              <w:br/>
              <w:t>a-d</w:t>
            </w:r>
          </w:p>
        </w:tc>
        <w:tc>
          <w:tcPr>
            <w:tcW w:w="1609" w:type="dxa"/>
            <w:vAlign w:val="center"/>
          </w:tcPr>
          <w:p w14:paraId="4DEF44D4"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3FB2241E" w14:textId="77777777" w:rsidTr="005E3BD6">
        <w:trPr>
          <w:cantSplit/>
          <w:trHeight w:val="397"/>
          <w:tblHeader/>
        </w:trPr>
        <w:tc>
          <w:tcPr>
            <w:tcW w:w="4894" w:type="dxa"/>
            <w:noWrap/>
            <w:vAlign w:val="center"/>
          </w:tcPr>
          <w:p w14:paraId="2A3280E4" w14:textId="77777777" w:rsidR="005E3BD6" w:rsidRDefault="005E3BD6" w:rsidP="005E3BD6">
            <w:pPr>
              <w:bidi w:val="0"/>
            </w:pPr>
            <w:r>
              <w:t>F.II.b.2 Change to importer, batch release arrangements and quality control testing of the finished product</w:t>
            </w:r>
          </w:p>
        </w:tc>
        <w:tc>
          <w:tcPr>
            <w:tcW w:w="1609" w:type="dxa"/>
            <w:noWrap/>
            <w:vAlign w:val="center"/>
          </w:tcPr>
          <w:p w14:paraId="6E876A97" w14:textId="77777777" w:rsidR="005E3BD6" w:rsidRDefault="005E3BD6" w:rsidP="005E3BD6">
            <w:pPr>
              <w:jc w:val="center"/>
              <w:rPr>
                <w:rFonts w:asciiTheme="majorBidi" w:hAnsiTheme="majorBidi" w:cs="David"/>
                <w:szCs w:val="24"/>
              </w:rPr>
            </w:pPr>
          </w:p>
        </w:tc>
        <w:tc>
          <w:tcPr>
            <w:tcW w:w="1609" w:type="dxa"/>
            <w:noWrap/>
            <w:vAlign w:val="center"/>
          </w:tcPr>
          <w:p w14:paraId="5C1112CC" w14:textId="77777777" w:rsidR="005E3BD6" w:rsidRDefault="005E3BD6" w:rsidP="005E3BD6">
            <w:pPr>
              <w:jc w:val="center"/>
              <w:rPr>
                <w:rFonts w:asciiTheme="majorBidi" w:hAnsiTheme="majorBidi" w:cs="David"/>
                <w:szCs w:val="24"/>
              </w:rPr>
            </w:pPr>
            <w:r>
              <w:rPr>
                <w:rFonts w:asciiTheme="majorBidi" w:hAnsiTheme="majorBidi" w:cs="David"/>
                <w:szCs w:val="24"/>
              </w:rPr>
              <w:t>X</w:t>
            </w:r>
          </w:p>
        </w:tc>
        <w:tc>
          <w:tcPr>
            <w:tcW w:w="1609" w:type="dxa"/>
            <w:vAlign w:val="center"/>
          </w:tcPr>
          <w:p w14:paraId="160B0456"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3AFE1431" w14:textId="77777777" w:rsidTr="005E3BD6">
        <w:trPr>
          <w:cantSplit/>
          <w:trHeight w:val="397"/>
          <w:tblHeader/>
        </w:trPr>
        <w:tc>
          <w:tcPr>
            <w:tcW w:w="4894" w:type="dxa"/>
            <w:noWrap/>
            <w:vAlign w:val="center"/>
          </w:tcPr>
          <w:p w14:paraId="30207AAD" w14:textId="77777777" w:rsidR="005E3BD6" w:rsidRDefault="005E3BD6" w:rsidP="005E3BD6">
            <w:pPr>
              <w:bidi w:val="0"/>
            </w:pPr>
            <w:r>
              <w:t>F.II.e.1 Change in immediate packaging of the finished product</w:t>
            </w:r>
          </w:p>
        </w:tc>
        <w:tc>
          <w:tcPr>
            <w:tcW w:w="1609" w:type="dxa"/>
            <w:noWrap/>
            <w:vAlign w:val="center"/>
          </w:tcPr>
          <w:p w14:paraId="690F0846" w14:textId="77777777" w:rsidR="005E3BD6" w:rsidRDefault="005E3BD6" w:rsidP="005E3BD6">
            <w:pPr>
              <w:jc w:val="center"/>
              <w:rPr>
                <w:rFonts w:asciiTheme="majorBidi" w:hAnsiTheme="majorBidi" w:cs="David"/>
                <w:szCs w:val="24"/>
              </w:rPr>
            </w:pPr>
          </w:p>
        </w:tc>
        <w:tc>
          <w:tcPr>
            <w:tcW w:w="1609" w:type="dxa"/>
            <w:noWrap/>
            <w:vAlign w:val="center"/>
          </w:tcPr>
          <w:p w14:paraId="00BD65F0" w14:textId="77777777" w:rsidR="005E3BD6" w:rsidRDefault="005E3BD6" w:rsidP="005E3BD6">
            <w:pPr>
              <w:jc w:val="center"/>
              <w:rPr>
                <w:rFonts w:asciiTheme="majorBidi" w:hAnsiTheme="majorBidi" w:cs="David"/>
                <w:szCs w:val="24"/>
              </w:rPr>
            </w:pPr>
            <w:r>
              <w:rPr>
                <w:rFonts w:asciiTheme="majorBidi" w:hAnsiTheme="majorBidi" w:cs="David"/>
                <w:szCs w:val="24"/>
              </w:rPr>
              <w:t>X</w:t>
            </w:r>
          </w:p>
          <w:p w14:paraId="7CFC4901" w14:textId="77777777" w:rsidR="005E3BD6" w:rsidRDefault="005E3BD6" w:rsidP="005E3BD6">
            <w:pPr>
              <w:jc w:val="center"/>
              <w:rPr>
                <w:rFonts w:asciiTheme="majorBidi" w:hAnsiTheme="majorBidi" w:cs="David"/>
                <w:szCs w:val="24"/>
              </w:rPr>
            </w:pPr>
            <w:r>
              <w:rPr>
                <w:rFonts w:asciiTheme="majorBidi" w:hAnsiTheme="majorBidi" w:cs="David"/>
                <w:szCs w:val="24"/>
              </w:rPr>
              <w:t>b</w:t>
            </w:r>
          </w:p>
        </w:tc>
        <w:tc>
          <w:tcPr>
            <w:tcW w:w="1609" w:type="dxa"/>
            <w:vAlign w:val="center"/>
          </w:tcPr>
          <w:p w14:paraId="75899AA1"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6439505D" w14:textId="77777777" w:rsidTr="005E3BD6">
        <w:trPr>
          <w:cantSplit/>
          <w:trHeight w:val="397"/>
          <w:tblHeader/>
        </w:trPr>
        <w:tc>
          <w:tcPr>
            <w:tcW w:w="4894" w:type="dxa"/>
            <w:noWrap/>
            <w:vAlign w:val="center"/>
          </w:tcPr>
          <w:p w14:paraId="40595F76" w14:textId="77777777" w:rsidR="005E3BD6" w:rsidRDefault="005E3BD6" w:rsidP="005E3BD6">
            <w:pPr>
              <w:bidi w:val="0"/>
            </w:pPr>
            <w:r>
              <w:t>F.II.e.4 Change in shape or dimensions of the container or closure (immediate packaging)</w:t>
            </w:r>
          </w:p>
        </w:tc>
        <w:tc>
          <w:tcPr>
            <w:tcW w:w="1609" w:type="dxa"/>
            <w:noWrap/>
            <w:vAlign w:val="center"/>
          </w:tcPr>
          <w:p w14:paraId="3FB00C88" w14:textId="77777777" w:rsidR="005E3BD6" w:rsidRDefault="005E3BD6" w:rsidP="005E3BD6">
            <w:pPr>
              <w:jc w:val="center"/>
              <w:rPr>
                <w:rFonts w:asciiTheme="majorBidi" w:hAnsiTheme="majorBidi" w:cs="David"/>
                <w:szCs w:val="24"/>
              </w:rPr>
            </w:pPr>
          </w:p>
        </w:tc>
        <w:tc>
          <w:tcPr>
            <w:tcW w:w="1609" w:type="dxa"/>
            <w:noWrap/>
            <w:vAlign w:val="center"/>
          </w:tcPr>
          <w:p w14:paraId="5FDD8F00"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vAlign w:val="center"/>
          </w:tcPr>
          <w:p w14:paraId="51C3EBC9"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0E8DB909" w14:textId="77777777" w:rsidTr="005E3BD6">
        <w:trPr>
          <w:cantSplit/>
          <w:trHeight w:val="397"/>
          <w:tblHeader/>
        </w:trPr>
        <w:tc>
          <w:tcPr>
            <w:tcW w:w="4894" w:type="dxa"/>
            <w:noWrap/>
            <w:vAlign w:val="center"/>
          </w:tcPr>
          <w:p w14:paraId="05CCF188" w14:textId="77777777" w:rsidR="005E3BD6" w:rsidRDefault="005E3BD6" w:rsidP="005E3BD6">
            <w:pPr>
              <w:bidi w:val="0"/>
            </w:pPr>
            <w:r>
              <w:t>F.II.e.5 Change in pack size of the finished product</w:t>
            </w:r>
          </w:p>
        </w:tc>
        <w:tc>
          <w:tcPr>
            <w:tcW w:w="1609" w:type="dxa"/>
            <w:noWrap/>
            <w:vAlign w:val="center"/>
          </w:tcPr>
          <w:p w14:paraId="225A978B" w14:textId="77777777" w:rsidR="005E3BD6" w:rsidRDefault="005E3BD6" w:rsidP="005E3BD6">
            <w:pPr>
              <w:jc w:val="center"/>
              <w:rPr>
                <w:rFonts w:asciiTheme="majorBidi" w:hAnsiTheme="majorBidi" w:cs="David"/>
                <w:szCs w:val="24"/>
              </w:rPr>
            </w:pPr>
          </w:p>
        </w:tc>
        <w:tc>
          <w:tcPr>
            <w:tcW w:w="1609" w:type="dxa"/>
            <w:noWrap/>
            <w:vAlign w:val="center"/>
          </w:tcPr>
          <w:p w14:paraId="08747EA0"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vAlign w:val="center"/>
          </w:tcPr>
          <w:p w14:paraId="782A6C68"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6EEDE5F9" w14:textId="77777777" w:rsidTr="005E3BD6">
        <w:trPr>
          <w:cantSplit/>
          <w:trHeight w:val="397"/>
          <w:tblHeader/>
        </w:trPr>
        <w:tc>
          <w:tcPr>
            <w:tcW w:w="4894" w:type="dxa"/>
            <w:noWrap/>
            <w:vAlign w:val="center"/>
          </w:tcPr>
          <w:p w14:paraId="6E004D6E" w14:textId="77777777" w:rsidR="005E3BD6" w:rsidRDefault="005E3BD6" w:rsidP="005E3BD6">
            <w:pPr>
              <w:bidi w:val="0"/>
            </w:pPr>
            <w:r>
              <w:t xml:space="preserve">F.II.e.6 Change in any part of the (primary) packaging material not in contact with the finished product formulation (such as </w:t>
            </w:r>
            <w:proofErr w:type="spellStart"/>
            <w:r>
              <w:t>colour</w:t>
            </w:r>
            <w:proofErr w:type="spellEnd"/>
            <w:r>
              <w:t xml:space="preserve"> of flip-off caps, </w:t>
            </w:r>
            <w:proofErr w:type="spellStart"/>
            <w:r>
              <w:t>colour</w:t>
            </w:r>
            <w:proofErr w:type="spellEnd"/>
            <w:r>
              <w:t xml:space="preserve"> code rings on ampoules, change of needle shield (different plastic used))</w:t>
            </w:r>
          </w:p>
        </w:tc>
        <w:tc>
          <w:tcPr>
            <w:tcW w:w="1609" w:type="dxa"/>
            <w:noWrap/>
            <w:vAlign w:val="center"/>
          </w:tcPr>
          <w:p w14:paraId="1CA779E3" w14:textId="77777777" w:rsidR="005E3BD6" w:rsidRDefault="005E3BD6" w:rsidP="005E3BD6">
            <w:pPr>
              <w:jc w:val="center"/>
              <w:rPr>
                <w:rFonts w:asciiTheme="majorBidi" w:hAnsiTheme="majorBidi" w:cs="David"/>
                <w:szCs w:val="24"/>
              </w:rPr>
            </w:pPr>
          </w:p>
        </w:tc>
        <w:tc>
          <w:tcPr>
            <w:tcW w:w="1609" w:type="dxa"/>
            <w:noWrap/>
            <w:vAlign w:val="center"/>
          </w:tcPr>
          <w:p w14:paraId="5FFBB5EE"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vAlign w:val="center"/>
          </w:tcPr>
          <w:p w14:paraId="567F5BB4"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391968E4" w14:textId="77777777" w:rsidTr="005E3BD6">
        <w:trPr>
          <w:gridAfter w:val="2"/>
          <w:wAfter w:w="3218" w:type="dxa"/>
          <w:cantSplit/>
          <w:trHeight w:val="397"/>
          <w:tblHeader/>
        </w:trPr>
        <w:tc>
          <w:tcPr>
            <w:tcW w:w="4894" w:type="dxa"/>
            <w:noWrap/>
            <w:vAlign w:val="center"/>
          </w:tcPr>
          <w:p w14:paraId="379C7CA4" w14:textId="77777777" w:rsidR="005E3BD6" w:rsidRDefault="005E3BD6" w:rsidP="005E3BD6">
            <w:pPr>
              <w:bidi w:val="0"/>
            </w:pPr>
            <w:r>
              <w:t>I. CHANGES OF ACTIVE SUBSTANCE(S), STRENGTH, PHARMACEUTICAL FORM, ROUTE OF ADMINISTRATION OR FOOD PRODUCING TARGET SPECIES</w:t>
            </w:r>
          </w:p>
        </w:tc>
        <w:tc>
          <w:tcPr>
            <w:tcW w:w="1609" w:type="dxa"/>
          </w:tcPr>
          <w:p w14:paraId="09666ABC" w14:textId="77777777" w:rsidR="005E3BD6" w:rsidRDefault="005E3BD6" w:rsidP="005E3BD6">
            <w:pPr>
              <w:bidi w:val="0"/>
            </w:pPr>
          </w:p>
        </w:tc>
      </w:tr>
      <w:tr w:rsidR="005E3BD6" w:rsidRPr="001C254B" w14:paraId="1F4FC342" w14:textId="77777777" w:rsidTr="005E3BD6">
        <w:trPr>
          <w:cantSplit/>
          <w:trHeight w:val="397"/>
          <w:tblHeader/>
        </w:trPr>
        <w:tc>
          <w:tcPr>
            <w:tcW w:w="4894" w:type="dxa"/>
            <w:noWrap/>
            <w:vAlign w:val="center"/>
          </w:tcPr>
          <w:p w14:paraId="1ED9CE51" w14:textId="77777777" w:rsidR="005E3BD6" w:rsidRDefault="005E3BD6" w:rsidP="005E3BD6">
            <w:pPr>
              <w:bidi w:val="0"/>
            </w:pPr>
            <w:r>
              <w:t>I.I.1 Changes to the active substance(s)</w:t>
            </w:r>
          </w:p>
        </w:tc>
        <w:tc>
          <w:tcPr>
            <w:tcW w:w="1609" w:type="dxa"/>
            <w:noWrap/>
            <w:vAlign w:val="center"/>
          </w:tcPr>
          <w:p w14:paraId="24CCCAF3" w14:textId="77777777" w:rsidR="005E3BD6" w:rsidRDefault="005E3BD6" w:rsidP="005E3BD6">
            <w:pPr>
              <w:jc w:val="center"/>
              <w:rPr>
                <w:rFonts w:asciiTheme="majorBidi" w:hAnsiTheme="majorBidi" w:cs="David"/>
                <w:szCs w:val="24"/>
              </w:rPr>
            </w:pPr>
          </w:p>
        </w:tc>
        <w:tc>
          <w:tcPr>
            <w:tcW w:w="1609" w:type="dxa"/>
            <w:noWrap/>
            <w:vAlign w:val="center"/>
          </w:tcPr>
          <w:p w14:paraId="5F9297BB" w14:textId="77777777" w:rsidR="005E3BD6" w:rsidRDefault="005E3BD6" w:rsidP="005E3BD6">
            <w:pPr>
              <w:jc w:val="center"/>
              <w:rPr>
                <w:rFonts w:asciiTheme="majorBidi" w:hAnsiTheme="majorBidi" w:cs="David"/>
                <w:szCs w:val="24"/>
              </w:rPr>
            </w:pPr>
            <w:r>
              <w:rPr>
                <w:rFonts w:asciiTheme="majorBidi" w:hAnsiTheme="majorBidi" w:cs="David"/>
                <w:szCs w:val="24"/>
              </w:rPr>
              <w:t>X</w:t>
            </w:r>
          </w:p>
          <w:p w14:paraId="15D3B767" w14:textId="77777777" w:rsidR="005E3BD6" w:rsidRDefault="005E3BD6" w:rsidP="005E3BD6">
            <w:pPr>
              <w:jc w:val="center"/>
              <w:rPr>
                <w:rFonts w:asciiTheme="majorBidi" w:hAnsiTheme="majorBidi" w:cs="David"/>
                <w:szCs w:val="24"/>
              </w:rPr>
            </w:pPr>
          </w:p>
        </w:tc>
        <w:tc>
          <w:tcPr>
            <w:tcW w:w="1609" w:type="dxa"/>
            <w:vAlign w:val="center"/>
          </w:tcPr>
          <w:p w14:paraId="762FB56B"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6230341B" w14:textId="77777777" w:rsidTr="005E3BD6">
        <w:trPr>
          <w:cantSplit/>
          <w:trHeight w:val="397"/>
          <w:tblHeader/>
        </w:trPr>
        <w:tc>
          <w:tcPr>
            <w:tcW w:w="4894" w:type="dxa"/>
            <w:noWrap/>
            <w:vAlign w:val="center"/>
          </w:tcPr>
          <w:p w14:paraId="52027858" w14:textId="77777777" w:rsidR="005E3BD6" w:rsidRDefault="005E3BD6" w:rsidP="005E3BD6">
            <w:pPr>
              <w:bidi w:val="0"/>
            </w:pPr>
            <w:r>
              <w:t>I.II.1 Changes to strength, pharmaceutical form and route of administration</w:t>
            </w:r>
          </w:p>
        </w:tc>
        <w:tc>
          <w:tcPr>
            <w:tcW w:w="1609" w:type="dxa"/>
            <w:noWrap/>
            <w:vAlign w:val="center"/>
          </w:tcPr>
          <w:p w14:paraId="43CF98BE"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noWrap/>
            <w:vAlign w:val="center"/>
          </w:tcPr>
          <w:p w14:paraId="0E238386" w14:textId="77777777" w:rsidR="005E3BD6" w:rsidRDefault="005E3BD6" w:rsidP="005E3BD6">
            <w:pPr>
              <w:jc w:val="center"/>
              <w:rPr>
                <w:rFonts w:asciiTheme="majorBidi" w:hAnsiTheme="majorBidi" w:cs="David"/>
                <w:szCs w:val="24"/>
              </w:rPr>
            </w:pPr>
          </w:p>
        </w:tc>
        <w:tc>
          <w:tcPr>
            <w:tcW w:w="1609" w:type="dxa"/>
            <w:vAlign w:val="center"/>
          </w:tcPr>
          <w:p w14:paraId="03795EA3"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r w:rsidR="005E3BD6" w:rsidRPr="001C254B" w14:paraId="007DDBD6" w14:textId="77777777" w:rsidTr="005E3BD6">
        <w:trPr>
          <w:cantSplit/>
          <w:trHeight w:val="397"/>
          <w:tblHeader/>
        </w:trPr>
        <w:tc>
          <w:tcPr>
            <w:tcW w:w="4894" w:type="dxa"/>
            <w:noWrap/>
            <w:vAlign w:val="center"/>
          </w:tcPr>
          <w:p w14:paraId="6E4BE60B" w14:textId="77777777" w:rsidR="005E3BD6" w:rsidRDefault="005E3BD6" w:rsidP="005E3BD6">
            <w:pPr>
              <w:bidi w:val="0"/>
            </w:pPr>
            <w:r>
              <w:t>I.III.1 Other changes specific to veterinary medicinal products to be administered to food-producing animals</w:t>
            </w:r>
          </w:p>
        </w:tc>
        <w:tc>
          <w:tcPr>
            <w:tcW w:w="1609" w:type="dxa"/>
            <w:noWrap/>
            <w:vAlign w:val="center"/>
          </w:tcPr>
          <w:p w14:paraId="70C525F6" w14:textId="77777777" w:rsidR="005E3BD6" w:rsidRDefault="005E3BD6" w:rsidP="005E3BD6">
            <w:pPr>
              <w:jc w:val="center"/>
              <w:rPr>
                <w:rFonts w:asciiTheme="majorBidi" w:hAnsiTheme="majorBidi" w:cs="David"/>
                <w:szCs w:val="24"/>
              </w:rPr>
            </w:pPr>
            <w:r>
              <w:rPr>
                <w:rFonts w:asciiTheme="majorBidi" w:hAnsiTheme="majorBidi" w:cs="David" w:hint="cs"/>
                <w:szCs w:val="24"/>
              </w:rPr>
              <w:t>X</w:t>
            </w:r>
          </w:p>
        </w:tc>
        <w:tc>
          <w:tcPr>
            <w:tcW w:w="1609" w:type="dxa"/>
            <w:noWrap/>
            <w:vAlign w:val="center"/>
          </w:tcPr>
          <w:p w14:paraId="564E32D8" w14:textId="77777777" w:rsidR="005E3BD6" w:rsidRDefault="005E3BD6" w:rsidP="005E3BD6">
            <w:pPr>
              <w:jc w:val="center"/>
              <w:rPr>
                <w:rFonts w:asciiTheme="majorBidi" w:hAnsiTheme="majorBidi" w:cs="David"/>
                <w:szCs w:val="24"/>
              </w:rPr>
            </w:pPr>
          </w:p>
        </w:tc>
        <w:tc>
          <w:tcPr>
            <w:tcW w:w="1609" w:type="dxa"/>
            <w:vAlign w:val="center"/>
          </w:tcPr>
          <w:p w14:paraId="110178A4" w14:textId="77777777" w:rsidR="005E3BD6" w:rsidRDefault="005E3BD6" w:rsidP="005E3BD6">
            <w:pPr>
              <w:jc w:val="center"/>
              <w:rPr>
                <w:rFonts w:asciiTheme="majorBidi" w:hAnsiTheme="majorBidi" w:cs="David"/>
                <w:szCs w:val="24"/>
              </w:rPr>
            </w:pPr>
            <w:r>
              <w:rPr>
                <w:rFonts w:asciiTheme="majorBidi" w:hAnsiTheme="majorBidi" w:cs="David"/>
                <w:szCs w:val="24"/>
              </w:rPr>
              <w:t>VRA</w:t>
            </w:r>
          </w:p>
        </w:tc>
      </w:tr>
    </w:tbl>
    <w:p w14:paraId="377A321F" w14:textId="10FF8DBE" w:rsidR="008475C8" w:rsidRDefault="00894540">
      <w:pPr>
        <w:rPr>
          <w:rFonts w:hint="cs"/>
          <w:rtl/>
        </w:rPr>
      </w:pPr>
      <w:r>
        <w:rPr>
          <w:rFonts w:hint="cs"/>
          <w:rtl/>
        </w:rPr>
        <w:t xml:space="preserve">                                                        </w:t>
      </w:r>
    </w:p>
    <w:sectPr w:rsidR="008475C8" w:rsidSect="006829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40"/>
    <w:rsid w:val="0012740C"/>
    <w:rsid w:val="001C1BBC"/>
    <w:rsid w:val="001F2FCF"/>
    <w:rsid w:val="002C0568"/>
    <w:rsid w:val="002F0D43"/>
    <w:rsid w:val="00511214"/>
    <w:rsid w:val="005E3BD6"/>
    <w:rsid w:val="00682925"/>
    <w:rsid w:val="008475C8"/>
    <w:rsid w:val="00894540"/>
    <w:rsid w:val="00B9582B"/>
    <w:rsid w:val="00BC3B18"/>
    <w:rsid w:val="00EC7405"/>
    <w:rsid w:val="00F42D86"/>
    <w:rsid w:val="00F60AE2"/>
    <w:rsid w:val="00FF55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478"/>
  <w15:chartTrackingRefBased/>
  <w15:docId w15:val="{B3F892F3-B632-4291-A9A4-ACB257BD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qFormat/>
    <w:rsid w:val="00894540"/>
    <w:pPr>
      <w:spacing w:after="0" w:line="480" w:lineRule="auto"/>
      <w:ind w:left="340"/>
      <w:jc w:val="center"/>
      <w:outlineLvl w:val="0"/>
    </w:pPr>
    <w:rPr>
      <w:rFonts w:asciiTheme="majorBidi" w:eastAsia="Times New Roman" w:hAnsiTheme="majorBidi" w:cs="David"/>
      <w:b/>
      <w:bCs/>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94540"/>
    <w:rPr>
      <w:rFonts w:asciiTheme="majorBidi" w:eastAsia="Times New Roman" w:hAnsiTheme="majorBidi" w:cs="David"/>
      <w:b/>
      <w:bCs/>
      <w:sz w:val="24"/>
      <w:szCs w:val="24"/>
      <w:lang w:eastAsia="he-IL"/>
    </w:rPr>
  </w:style>
  <w:style w:type="table" w:styleId="a3">
    <w:name w:val="Table Grid"/>
    <w:basedOn w:val="a1"/>
    <w:rsid w:val="0089454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1201</Words>
  <Characters>6009</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SCCM16</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ורד בן-נעים</dc:creator>
  <cp:keywords/>
  <dc:description/>
  <cp:lastModifiedBy>ורד בן-נעים</cp:lastModifiedBy>
  <cp:revision>5</cp:revision>
  <dcterms:created xsi:type="dcterms:W3CDTF">2025-12-30T12:49:00Z</dcterms:created>
  <dcterms:modified xsi:type="dcterms:W3CDTF">2025-12-31T06:09:00Z</dcterms:modified>
</cp:coreProperties>
</file>